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定期开放式、固定收益类、公募、净值型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bookmarkStart w:id="0" w:name="_GoBack"/>
      <w:bookmarkEnd w:id="0"/>
    </w:p>
    <w:p>
      <w:pPr>
        <w:pStyle w:val="70681d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70681d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类型：定期开放式、固定收益类、公募、净值型。</w:t>
      </w:r>
    </w:p>
    <w:p>
      <w:pPr>
        <w:pStyle w:val="70681d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10年</w:t>
      </w:r>
      <w:r>
        <w:rPr>
          <w:rFonts w:ascii="方正黑体_GBK" w:eastAsia="方正黑体_GBK" w:cs="Times New Roman" w:hint="eastAsia" w:hAnsi="方正黑体_GBK"/>
          <w:b/>
          <w:bCs w:val="0"/>
          <w:vanish w:val="0"/>
          <w:color w:val="3D3D3D"/>
          <w:kern w:val="0"/>
          <w:sz w:val="13"/>
          <w:szCs w:val="13"/>
        </w:rPr>
        <w:t>（若本理财产品被提前终止或延期终止，以实际到期日计算持有天数）</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70681d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bookmarkStart w:id="0" w:name="_GoBack"/>
      <w:bookmarkEnd w:id="0"/>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70681d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70681d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70681d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70681d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70681d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70681d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70681d05"/>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w:t>
      </w:r>
      <w:bookmarkStart w:id="0" w:name="_GoBack"/>
      <w:bookmarkEnd w:id="0"/>
      <w:r>
        <w:rPr>
          <w:rFonts w:ascii="方正黑体_GBK" w:eastAsia="方正黑体_GBK" w:hint="eastAsia" w:hAnsi="方正黑体_GBK"/>
          <w:vanish w:val="0"/>
          <w:color w:val="3D3D3D"/>
          <w:kern w:val="0"/>
          <w:sz w:val="15"/>
          <w:szCs w:val="15"/>
        </w:rPr>
        <w:t>.以下划线部分，请投资者抄录确认：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a2536bc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a2536bc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cfb3365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南银理财珠联璧合安稳1907一年定开公募人民币理财产品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定期开放式、固定收益类、公募、净值型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ZC108691944611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Z7003221000024(投资者可依据该编码在中国理财网www.chinawealth.com.cn查询理财产品相关信息）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A份额：Z30003</w:t>
            </w:r>
          </w:p>
          <w:p>
            <w:pPr>
              <w:pStyle w:val="null10"/>
              <w:spacing w:lineRule="exact" w:line="200"/>
            </w:pPr>
            <w:r>
              <w:rPr>
                <w:rFonts w:ascii="方正黑体_GBK" w:hAnsi="方正黑体_GBK" w:cs="宋体" w:eastAsia="方正黑体_GBK"/>
                <w:sz w:val="18"/>
                <w:szCs w:val="18"/>
              </w:rPr>
              <w:t>B份额：ZB30003</w:t>
            </w:r>
          </w:p>
          <w:p>
            <w:pPr>
              <w:pStyle w:val="null10"/>
              <w:spacing w:lineRule="exact" w:line="200"/>
            </w:pPr>
            <w:r>
              <w:rPr>
                <w:rFonts w:ascii="方正黑体_GBK" w:hAnsi="方正黑体_GBK" w:cs="宋体" w:eastAsia="方正黑体_GBK"/>
                <w:sz w:val="18"/>
                <w:szCs w:val="18"/>
              </w:rPr>
              <w:t>C份额：ZC30003</w:t>
            </w:r>
          </w:p>
          <w:p>
            <w:pPr>
              <w:pStyle w:val="null10"/>
              <w:spacing w:lineRule="exact" w:line="200"/>
            </w:pPr>
            <w:r>
              <w:rPr>
                <w:rFonts w:ascii="方正黑体_GBK" w:hAnsi="方正黑体_GBK" w:cs="宋体" w:eastAsia="方正黑体_GBK"/>
                <w:sz w:val="18"/>
                <w:szCs w:val="18"/>
              </w:rPr>
              <w:t>D份额：ZD30003</w:t>
            </w:r>
          </w:p>
          <w:p>
            <w:pPr>
              <w:pStyle w:val="null10"/>
              <w:spacing w:lineRule="exact" w:line="200"/>
            </w:pPr>
            <w:r>
              <w:rPr>
                <w:rFonts w:ascii="方正黑体_GBK" w:hAnsi="方正黑体_GBK" w:cs="宋体" w:eastAsia="方正黑体_GBK"/>
                <w:sz w:val="18"/>
                <w:szCs w:val="18"/>
              </w:rPr>
              <w:t>E份额：ZE30003</w:t>
            </w:r>
          </w:p>
          <w:p>
            <w:pPr>
              <w:pStyle w:val="null10"/>
              <w:spacing w:lineRule="exact" w:line="200"/>
            </w:pPr>
            <w:r>
              <w:rPr>
                <w:rFonts w:ascii="方正黑体_GBK" w:hAnsi="方正黑体_GBK" w:cs="宋体" w:eastAsia="方正黑体_GBK"/>
                <w:sz w:val="18"/>
                <w:szCs w:val="18"/>
              </w:rPr>
              <w:t>F份额：ZF30003</w:t>
            </w:r>
          </w:p>
          <w:p>
            <w:pPr>
              <w:pStyle w:val="null10"/>
              <w:spacing w:lineRule="exact" w:line="200"/>
            </w:pPr>
            <w:r>
              <w:rPr>
                <w:rFonts w:ascii="方正黑体_GBK" w:hAnsi="方正黑体_GBK" w:cs="宋体" w:eastAsia="方正黑体_GBK"/>
                <w:sz w:val="18"/>
                <w:szCs w:val="18"/>
              </w:rPr>
              <w:t>G份额：ZG30003</w:t>
            </w:r>
          </w:p>
          <w:p>
            <w:pPr>
              <w:pStyle w:val="null10"/>
              <w:spacing w:lineRule="exact" w:line="200"/>
            </w:pPr>
            <w:r>
              <w:rPr>
                <w:rFonts w:ascii="方正黑体_GBK" w:hAnsi="方正黑体_GBK" w:cs="宋体" w:eastAsia="方正黑体_GBK"/>
                <w:sz w:val="18"/>
                <w:szCs w:val="18"/>
              </w:rPr>
              <w:t>I份额：ZI30003</w:t>
            </w:r>
          </w:p>
          <w:p>
            <w:pPr>
              <w:pStyle w:val="null10"/>
              <w:spacing w:lineRule="exact" w:line="200"/>
            </w:pPr>
            <w:r>
              <w:rPr>
                <w:rFonts w:ascii="方正黑体_GBK" w:hAnsi="方正黑体_GBK" w:cs="宋体" w:eastAsia="方正黑体_GBK"/>
                <w:sz w:val="18"/>
                <w:szCs w:val="18"/>
              </w:rPr>
              <w:t>J份额：ZJ30003</w:t>
            </w:r>
          </w:p>
          <w:p>
            <w:pPr>
              <w:pStyle w:val="null10"/>
              <w:spacing w:lineRule="exact" w:line="200"/>
            </w:pPr>
            <w:r>
              <w:rPr>
                <w:rFonts w:ascii="方正黑体_GBK" w:hAnsi="方正黑体_GBK" w:cs="宋体" w:eastAsia="方正黑体_GBK"/>
                <w:sz w:val="18"/>
                <w:szCs w:val="18"/>
              </w:rPr>
              <w:t>K份额：ZK30003</w:t>
            </w:r>
          </w:p>
          <w:p>
            <w:pPr>
              <w:pStyle w:val="null10"/>
              <w:spacing w:lineRule="exact" w:line="200"/>
            </w:pPr>
            <w:r>
              <w:rPr>
                <w:rFonts w:ascii="方正黑体_GBK" w:hAnsi="方正黑体_GBK" w:cs="宋体" w:eastAsia="方正黑体_GBK"/>
                <w:sz w:val="18"/>
                <w:szCs w:val="18"/>
              </w:rPr>
              <w:t>M份额：ZM30003</w:t>
            </w:r>
          </w:p>
          <w:p>
            <w:pPr>
              <w:pStyle w:val="null10"/>
              <w:spacing w:lineRule="exact" w:line="200"/>
            </w:pPr>
            <w:r>
              <w:rPr>
                <w:rFonts w:ascii="方正黑体_GBK" w:hAnsi="方正黑体_GBK" w:cs="宋体" w:eastAsia="方正黑体_GBK"/>
                <w:sz w:val="18"/>
                <w:szCs w:val="18"/>
              </w:rPr>
              <w:t>N份额：ZN30003</w:t>
            </w:r>
          </w:p>
          <w:p>
            <w:pPr>
              <w:pStyle w:val="null10"/>
              <w:spacing w:lineRule="exact" w:line="200"/>
            </w:pPr>
            <w:r>
              <w:rPr>
                <w:rFonts w:ascii="方正黑体_GBK" w:hAnsi="方正黑体_GBK" w:cs="宋体" w:eastAsia="方正黑体_GBK"/>
                <w:sz w:val="18"/>
                <w:szCs w:val="18"/>
              </w:rPr>
              <w:t>O份额：ZO30003</w:t>
            </w:r>
          </w:p>
          <w:p>
            <w:pPr>
              <w:pStyle w:val="null10"/>
              <w:spacing w:lineRule="exact" w:line="200"/>
            </w:pPr>
            <w:r>
              <w:rPr>
                <w:rFonts w:ascii="方正黑体_GBK" w:hAnsi="方正黑体_GBK" w:cs="宋体" w:eastAsia="方正黑体_GBK"/>
                <w:sz w:val="18"/>
                <w:szCs w:val="18"/>
              </w:rPr>
              <w:t>P份额：ZP30003</w:t>
            </w:r>
          </w:p>
          <w:p>
            <w:pPr>
              <w:pStyle w:val="null10"/>
              <w:spacing w:lineRule="exact" w:line="200"/>
            </w:pPr>
            <w:r>
              <w:rPr>
                <w:rFonts w:ascii="方正黑体_GBK" w:hAnsi="方正黑体_GBK" w:cs="宋体" w:eastAsia="方正黑体_GBK"/>
                <w:sz w:val="18"/>
                <w:szCs w:val="18"/>
              </w:rPr>
              <w:t>A2份额：Z31003</w:t>
            </w:r>
          </w:p>
          <w:p>
            <w:pPr>
              <w:pStyle w:val="null10"/>
              <w:spacing w:lineRule="exact" w:line="200"/>
            </w:pPr>
            <w:r>
              <w:rPr>
                <w:rFonts w:ascii="方正黑体_GBK" w:hAnsi="方正黑体_GBK" w:cs="宋体" w:eastAsia="方正黑体_GBK"/>
                <w:sz w:val="18"/>
                <w:szCs w:val="18"/>
              </w:rPr>
              <w:t>B2份额：ZB31003</w:t>
            </w:r>
          </w:p>
          <w:p>
            <w:pPr>
              <w:pStyle w:val="null10"/>
              <w:spacing w:lineRule="exact" w:line="200"/>
            </w:pPr>
            <w:r>
              <w:rPr>
                <w:rFonts w:ascii="方正黑体_GBK" w:hAnsi="方正黑体_GBK" w:cs="宋体" w:eastAsia="方正黑体_GBK"/>
                <w:sz w:val="18"/>
                <w:szCs w:val="18"/>
              </w:rPr>
              <w:t>C2份额：ZC31003</w:t>
            </w:r>
          </w:p>
          <w:p>
            <w:pPr>
              <w:pStyle w:val="null10"/>
              <w:spacing w:lineRule="exact" w:line="200"/>
            </w:pPr>
            <w:r>
              <w:rPr>
                <w:rFonts w:ascii="方正黑体_GBK" w:hAnsi="方正黑体_GBK" w:cs="宋体" w:eastAsia="方正黑体_GBK"/>
                <w:sz w:val="18"/>
                <w:szCs w:val="18"/>
              </w:rPr>
              <w:t>D2份额：ZD31003</w:t>
            </w:r>
          </w:p>
          <w:p>
            <w:pPr>
              <w:pStyle w:val="null10"/>
              <w:spacing w:lineRule="exact" w:line="200"/>
            </w:pPr>
            <w:r>
              <w:rPr>
                <w:rFonts w:ascii="方正黑体_GBK" w:hAnsi="方正黑体_GBK" w:cs="宋体" w:eastAsia="方正黑体_GBK"/>
                <w:sz w:val="18"/>
                <w:szCs w:val="18"/>
              </w:rPr>
              <w:t>E2份额：ZE31003</w:t>
            </w:r>
          </w:p>
          <w:p>
            <w:pPr>
              <w:pStyle w:val="null10"/>
              <w:spacing w:lineRule="exact" w:line="200"/>
            </w:pPr>
            <w:r>
              <w:rPr>
                <w:rFonts w:ascii="方正黑体_GBK" w:hAnsi="方正黑体_GBK" w:cs="宋体" w:eastAsia="方正黑体_GBK"/>
                <w:sz w:val="18"/>
                <w:szCs w:val="18"/>
              </w:rPr>
              <w:t>A3份额：Z32003</w:t>
            </w:r>
          </w:p>
          <w:p>
            <w:pPr>
              <w:pStyle w:val="null10"/>
              <w:spacing w:lineRule="exact" w:line="200"/>
            </w:pPr>
            <w:r>
              <w:rPr>
                <w:rFonts w:ascii="方正黑体_GBK" w:hAnsi="方正黑体_GBK" w:cs="宋体" w:eastAsia="方正黑体_GBK"/>
                <w:sz w:val="18"/>
                <w:szCs w:val="18"/>
              </w:rPr>
              <w:t>B3份额：ZB32003</w:t>
            </w:r>
          </w:p>
          <w:p>
            <w:pPr>
              <w:pStyle w:val="null10"/>
              <w:spacing w:lineRule="exact" w:line="200"/>
            </w:pPr>
            <w:r>
              <w:rPr>
                <w:rFonts w:ascii="方正黑体_GBK" w:hAnsi="方正黑体_GBK" w:cs="宋体" w:eastAsia="方正黑体_GBK"/>
                <w:sz w:val="18"/>
                <w:szCs w:val="18"/>
              </w:rPr>
              <w:t>C3份额：ZC32003</w:t>
            </w:r>
          </w:p>
          <w:p>
            <w:pPr>
              <w:pStyle w:val="null10"/>
              <w:spacing w:lineRule="exact" w:line="200"/>
            </w:pPr>
            <w:r>
              <w:rPr>
                <w:rFonts w:ascii="方正黑体_GBK" w:hAnsi="方正黑体_GBK" w:cs="宋体" w:eastAsia="方正黑体_GBK"/>
                <w:sz w:val="18"/>
                <w:szCs w:val="18"/>
              </w:rPr>
              <w:t>D3份额：ZD32003</w:t>
            </w:r>
          </w:p>
          <w:p>
            <w:pPr>
              <w:pStyle w:val="null10"/>
              <w:spacing w:lineRule="exact" w:line="200"/>
            </w:pPr>
            <w:r>
              <w:rPr>
                <w:rFonts w:ascii="方正黑体_GBK" w:hAnsi="方正黑体_GBK" w:cs="宋体" w:eastAsia="方正黑体_GBK"/>
                <w:sz w:val="18"/>
                <w:szCs w:val="18"/>
              </w:rPr>
              <w:t>E3份额：ZE32003</w:t>
            </w:r>
          </w:p>
          <w:p>
            <w:pPr>
              <w:pStyle w:val="null10"/>
              <w:spacing w:lineRule="exact" w:line="200"/>
            </w:pPr>
            <w:r>
              <w:rPr>
                <w:rFonts w:ascii="方正黑体_GBK" w:hAnsi="方正黑体_GBK" w:cs="宋体" w:eastAsia="方正黑体_GBK"/>
                <w:sz w:val="18"/>
                <w:szCs w:val="18"/>
              </w:rPr>
              <w:t>A4份额：Z33003</w:t>
            </w:r>
          </w:p>
          <w:p>
            <w:pPr>
              <w:pStyle w:val="null10"/>
              <w:spacing w:lineRule="exact" w:line="200"/>
            </w:pPr>
            <w:r>
              <w:rPr>
                <w:rFonts w:ascii="方正黑体_GBK" w:hAnsi="方正黑体_GBK" w:cs="宋体" w:eastAsia="方正黑体_GBK"/>
                <w:sz w:val="18"/>
                <w:szCs w:val="18"/>
              </w:rPr>
              <w:t>B4份额：ZB33003</w:t>
            </w:r>
          </w:p>
          <w:p>
            <w:pPr>
              <w:pStyle w:val="null10"/>
              <w:spacing w:lineRule="exact" w:line="200"/>
            </w:pPr>
            <w:r>
              <w:rPr>
                <w:rFonts w:ascii="方正黑体_GBK" w:hAnsi="方正黑体_GBK" w:cs="宋体" w:eastAsia="方正黑体_GBK"/>
                <w:sz w:val="18"/>
                <w:szCs w:val="18"/>
              </w:rPr>
              <w:t>C4份额：ZC33003</w:t>
            </w:r>
          </w:p>
          <w:p>
            <w:pPr>
              <w:pStyle w:val="null10"/>
              <w:spacing w:lineRule="exact" w:line="200"/>
            </w:pPr>
            <w:r>
              <w:rPr>
                <w:rFonts w:ascii="方正黑体_GBK" w:hAnsi="方正黑体_GBK" w:cs="宋体" w:eastAsia="方正黑体_GBK"/>
                <w:sz w:val="18"/>
                <w:szCs w:val="18"/>
              </w:rPr>
              <w:t>D4份额：ZD33003</w:t>
            </w:r>
          </w:p>
          <w:p>
            <w:pPr>
              <w:pStyle w:val="null10"/>
              <w:spacing w:lineRule="exact" w:line="200"/>
            </w:pPr>
            <w:r>
              <w:rPr>
                <w:rFonts w:ascii="方正黑体_GBK" w:hAnsi="方正黑体_GBK" w:cs="宋体" w:eastAsia="方正黑体_GBK"/>
                <w:sz w:val="18"/>
                <w:szCs w:val="18"/>
              </w:rPr>
              <w:t>E4份额：ZE33003</w:t>
            </w:r>
          </w:p>
          <w:p>
            <w:pPr>
              <w:pStyle w:val="null10"/>
              <w:spacing w:lineRule="exact" w:line="200"/>
            </w:pPr>
            <w:r>
              <w:rPr>
                <w:rFonts w:ascii="方正黑体_GBK" w:hAnsi="方正黑体_GBK" w:cs="宋体" w:eastAsia="方正黑体_GBK"/>
                <w:sz w:val="18"/>
                <w:szCs w:val="18"/>
              </w:rPr>
              <w:t>F2份额：ZF31003</w:t>
            </w:r>
          </w:p>
          <w:p>
            <w:pPr>
              <w:pStyle w:val="null10"/>
              <w:spacing w:lineRule="exact" w:line="200"/>
            </w:pPr>
            <w:r>
              <w:rPr>
                <w:rFonts w:ascii="方正黑体_GBK" w:hAnsi="方正黑体_GBK" w:cs="宋体" w:eastAsia="方正黑体_GBK"/>
                <w:sz w:val="18"/>
                <w:szCs w:val="18"/>
              </w:rPr>
              <w:t>F3份额：ZF32003</w:t>
            </w:r>
          </w:p>
          <w:p>
            <w:pPr>
              <w:pStyle w:val="null10"/>
              <w:spacing w:lineRule="exact" w:line="200"/>
            </w:pPr>
            <w:r>
              <w:rPr>
                <w:rFonts w:ascii="方正黑体_GBK" w:hAnsi="方正黑体_GBK" w:cs="宋体" w:eastAsia="方正黑体_GBK"/>
                <w:sz w:val="18"/>
                <w:szCs w:val="18"/>
              </w:rPr>
              <w:t>G2份额：ZG31003</w:t>
            </w:r>
          </w:p>
          <w:p>
            <w:pPr>
              <w:pStyle w:val="null10"/>
              <w:spacing w:lineRule="exact" w:line="200"/>
            </w:pPr>
            <w:r>
              <w:rPr>
                <w:rFonts w:ascii="方正黑体_GBK" w:hAnsi="方正黑体_GBK" w:cs="宋体" w:eastAsia="方正黑体_GBK"/>
                <w:sz w:val="18"/>
                <w:szCs w:val="18"/>
              </w:rPr>
              <w:t>G3份额：ZG32003</w:t>
            </w:r>
          </w:p>
          <w:p>
            <w:pPr>
              <w:pStyle w:val="null10"/>
              <w:spacing w:lineRule="exact" w:line="200"/>
            </w:pPr>
            <w:r>
              <w:rPr>
                <w:rFonts w:ascii="方正黑体_GBK" w:hAnsi="方正黑体_GBK" w:cs="宋体" w:eastAsia="方正黑体_GBK"/>
                <w:sz w:val="18"/>
                <w:szCs w:val="18"/>
              </w:rPr>
              <w:t>F4份额：ZF33003</w:t>
            </w:r>
          </w:p>
          <w:p>
            <w:pPr>
              <w:pStyle w:val="null10"/>
              <w:spacing w:lineRule="exact" w:line="200"/>
            </w:pPr>
            <w:r>
              <w:rPr>
                <w:rFonts w:ascii="方正黑体_GBK" w:hAnsi="方正黑体_GBK" w:cs="宋体" w:eastAsia="方正黑体_GBK"/>
                <w:sz w:val="18"/>
                <w:szCs w:val="18"/>
              </w:rPr>
              <w:t>G4份额：ZG33003</w:t>
            </w:r>
          </w:p>
          <w:p>
            <w:pPr>
              <w:pStyle w:val="null10"/>
              <w:spacing w:lineRule="exact" w:line="200"/>
            </w:pPr>
            <w:r>
              <w:rPr>
                <w:rFonts w:ascii="方正黑体_GBK" w:hAnsi="方正黑体_GBK" w:cs="宋体" w:eastAsia="方正黑体_GBK"/>
                <w:sz w:val="18"/>
                <w:szCs w:val="18"/>
              </w:rPr>
              <w:t>H2份额：ZH31003</w:t>
            </w:r>
          </w:p>
          <w:p>
            <w:pPr>
              <w:pStyle w:val="null10"/>
              <w:spacing w:lineRule="exact" w:line="200"/>
            </w:pPr>
            <w:r>
              <w:rPr>
                <w:rFonts w:ascii="方正黑体_GBK" w:hAnsi="方正黑体_GBK" w:cs="宋体" w:eastAsia="方正黑体_GBK"/>
                <w:sz w:val="18"/>
                <w:szCs w:val="18"/>
              </w:rPr>
              <w:t>J2份额：ZJ31003</w:t>
            </w:r>
          </w:p>
          <w:p>
            <w:pPr>
              <w:pStyle w:val="null10"/>
              <w:spacing w:lineRule="exact" w:line="200"/>
            </w:pPr>
            <w:r>
              <w:rPr>
                <w:rFonts w:ascii="方正黑体_GBK" w:hAnsi="方正黑体_GBK" w:cs="宋体" w:eastAsia="方正黑体_GBK"/>
                <w:sz w:val="18"/>
                <w:szCs w:val="18"/>
              </w:rPr>
              <w:t>K2份额：ZK31003</w:t>
            </w:r>
          </w:p>
          <w:p>
            <w:pPr>
              <w:pStyle w:val="null10"/>
              <w:spacing w:lineRule="exact" w:line="200"/>
            </w:pPr>
            <w:r>
              <w:rPr>
                <w:rFonts w:ascii="方正黑体_GBK" w:hAnsi="方正黑体_GBK" w:cs="宋体" w:eastAsia="方正黑体_GBK"/>
                <w:sz w:val="18"/>
                <w:szCs w:val="18"/>
              </w:rPr>
              <w:t>J3份额：ZJ32003</w:t>
            </w:r>
          </w:p>
          <w:p>
            <w:pPr>
              <w:pStyle w:val="null10"/>
              <w:spacing w:lineRule="exact" w:line="200"/>
            </w:pPr>
            <w:r>
              <w:rPr>
                <w:rFonts w:ascii="方正黑体_GBK" w:hAnsi="方正黑体_GBK" w:cs="宋体" w:eastAsia="方正黑体_GBK"/>
                <w:sz w:val="18"/>
                <w:szCs w:val="18"/>
              </w:rPr>
              <w:t>K3份额：ZK32003</w:t>
            </w:r>
          </w:p>
          <w:p>
            <w:pPr>
              <w:pStyle w:val="null10"/>
              <w:spacing w:lineRule="exact" w:line="200"/>
            </w:pPr>
            <w:r>
              <w:rPr>
                <w:rFonts w:ascii="方正黑体_GBK" w:hAnsi="方正黑体_GBK" w:cs="宋体" w:eastAsia="方正黑体_GBK"/>
                <w:sz w:val="18"/>
                <w:szCs w:val="18"/>
              </w:rPr>
              <w:t>J4份额：ZJ33003</w:t>
            </w:r>
          </w:p>
          <w:p>
            <w:pPr>
              <w:pStyle w:val="null10"/>
              <w:spacing w:lineRule="exact" w:line="200"/>
            </w:pPr>
            <w:r>
              <w:rPr>
                <w:rFonts w:ascii="方正黑体_GBK" w:hAnsi="方正黑体_GBK" w:cs="宋体" w:eastAsia="方正黑体_GBK"/>
                <w:sz w:val="18"/>
                <w:szCs w:val="18"/>
              </w:rPr>
              <w:t>K4份额：ZK33004</w:t>
            </w:r>
          </w:p>
          <w:p>
            <w:pPr>
              <w:pStyle w:val="null10"/>
              <w:spacing w:lineRule="exact" w:line="200"/>
            </w:pPr>
            <w:r>
              <w:rPr>
                <w:rFonts w:ascii="方正黑体_GBK" w:hAnsi="方正黑体_GBK" w:cs="宋体" w:eastAsia="方正黑体_GBK"/>
                <w:sz w:val="18"/>
                <w:szCs w:val="18"/>
              </w:rPr>
              <w:t>L4份额：ZL33004</w:t>
            </w:r>
          </w:p>
          <w:p>
            <w:pPr>
              <w:pStyle w:val="null10"/>
              <w:spacing w:lineRule="exact" w:line="200"/>
            </w:pPr>
            <w:r>
              <w:rPr>
                <w:rFonts w:ascii="方正黑体_GBK" w:hAnsi="方正黑体_GBK" w:cs="宋体" w:eastAsia="方正黑体_GBK"/>
                <w:sz w:val="18"/>
                <w:szCs w:val="18"/>
              </w:rPr>
              <w:t>M2份额：ZM31003</w:t>
            </w:r>
          </w:p>
          <w:p>
            <w:pPr>
              <w:pStyle w:val="null10"/>
              <w:spacing w:lineRule="exact" w:line="200"/>
            </w:pPr>
            <w:r>
              <w:rPr>
                <w:rFonts w:ascii="方正黑体_GBK" w:hAnsi="方正黑体_GBK" w:cs="宋体" w:eastAsia="方正黑体_GBK"/>
                <w:sz w:val="18"/>
                <w:szCs w:val="18"/>
              </w:rPr>
              <w:t>M3份额：ZM32003</w:t>
            </w:r>
          </w:p>
          <w:p>
            <w:pPr>
              <w:pStyle w:val="null10"/>
              <w:spacing w:lineRule="exact" w:line="200"/>
            </w:pPr>
            <w:r>
              <w:rPr>
                <w:rFonts w:ascii="方正黑体_GBK" w:hAnsi="方正黑体_GBK" w:cs="宋体" w:eastAsia="方正黑体_GBK"/>
                <w:sz w:val="18"/>
                <w:szCs w:val="18"/>
              </w:rPr>
              <w:t>M4份额：ZM33003</w:t>
            </w:r>
          </w:p>
          <w:p>
            <w:pPr>
              <w:pStyle w:val="null10"/>
              <w:spacing w:lineRule="exact" w:line="200"/>
            </w:pPr>
            <w:r>
              <w:rPr>
                <w:rFonts w:ascii="方正黑体_GBK" w:hAnsi="方正黑体_GBK" w:cs="宋体" w:eastAsia="方正黑体_GBK"/>
                <w:sz w:val="18"/>
                <w:szCs w:val="18"/>
              </w:rPr>
              <w:t>O2份额：ZO31003</w:t>
            </w:r>
          </w:p>
          <w:p>
            <w:pPr>
              <w:pStyle w:val="null10"/>
              <w:spacing w:lineRule="exact" w:line="200"/>
            </w:pPr>
            <w:r>
              <w:rPr>
                <w:rFonts w:ascii="方正黑体_GBK" w:hAnsi="方正黑体_GBK" w:cs="宋体" w:eastAsia="方正黑体_GBK"/>
                <w:sz w:val="18"/>
                <w:szCs w:val="18"/>
              </w:rPr>
              <w:t>P2份额：ZP31003</w:t>
            </w:r>
          </w:p>
          <w:p>
            <w:pPr>
              <w:pStyle w:val="null10"/>
              <w:spacing w:lineRule="exact" w:line="200"/>
            </w:pPr>
            <w:r>
              <w:rPr>
                <w:rFonts w:ascii="方正黑体_GBK" w:hAnsi="方正黑体_GBK" w:cs="宋体" w:eastAsia="方正黑体_GBK"/>
                <w:sz w:val="18"/>
                <w:szCs w:val="18"/>
              </w:rPr>
              <w:t>O3份额：ZO32003</w:t>
            </w:r>
          </w:p>
          <w:p>
            <w:pPr>
              <w:pStyle w:val="null10"/>
              <w:spacing w:lineRule="exact" w:line="200"/>
            </w:pPr>
            <w:r>
              <w:rPr>
                <w:rFonts w:ascii="方正黑体_GBK" w:hAnsi="方正黑体_GBK" w:cs="宋体" w:eastAsia="方正黑体_GBK"/>
                <w:sz w:val="18"/>
                <w:szCs w:val="18"/>
              </w:rPr>
              <w:t>P3份额：ZP32003</w:t>
            </w:r>
          </w:p>
          <w:p>
            <w:pPr>
              <w:pStyle w:val="null10"/>
              <w:spacing w:lineRule="exact" w:line="200"/>
            </w:pPr>
            <w:r>
              <w:rPr>
                <w:rFonts w:ascii="方正黑体_GBK" w:hAnsi="方正黑体_GBK" w:cs="宋体" w:eastAsia="方正黑体_GBK"/>
                <w:sz w:val="18"/>
                <w:szCs w:val="18"/>
              </w:rPr>
              <w:t>O4份额：ZO33003</w:t>
            </w:r>
          </w:p>
          <w:p>
            <w:pPr>
              <w:pStyle w:val="null10"/>
              <w:spacing w:lineRule="exact" w:line="200"/>
            </w:pPr>
            <w:r>
              <w:rPr>
                <w:rFonts w:ascii="方正黑体_GBK" w:hAnsi="方正黑体_GBK" w:cs="宋体" w:eastAsia="方正黑体_GBK"/>
                <w:sz w:val="18"/>
                <w:szCs w:val="18"/>
              </w:rPr>
              <w:t>P4份额：ZP33004</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sz w:val="18"/>
                <w:szCs w:val="18"/>
              </w:rPr>
              <w:t>10年</w:t>
            </w:r>
            <w:r>
              <w:rPr>
                <w:rFonts w:ascii="方正黑体_GBK" w:cs="宋体" w:hint="eastAsia" w:hAnsi="方正黑体_GBK" w:eastAsia="方正黑体_GBK"/>
                <w:kern w:val="0"/>
                <w:lang w:val="en-US" w:eastAsia="zh-CN"/>
                <w:sz w:val="18"/>
                <w:szCs w:val="18"/>
              </w:rPr>
              <w:t>（管理人有权提前终止或延期终止）</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本理财产品规模上限为500亿元。理财产品管理人有权对上述规模上限根据实际业务需求进行调整。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南京银行股份有限公司、南银理财有限责任公司、江苏常熟农村商业银行股份有限公司、日照银行股份有限公司、九江银行股份有限公司、深圳前海微众银行股份有限公司、中信百信银行股份有限公司、互金平台、无锡锡商银行股份有限公司、江苏扬州农村商业银行股份有限公司、江苏如皋农村商业银行股份有限公司、江苏江阴农村商业银行股份有限公司客户。</w:t>
            </w:r>
          </w:p>
          <w:p>
            <w:pPr>
              <w:pStyle w:val="null10"/>
              <w:spacing w:lineRule="exact" w:line="200"/>
            </w:pPr>
            <w:r>
              <w:rPr>
                <w:rFonts w:ascii="方正黑体_GBK" w:hAnsi="方正黑体_GBK" w:cs="宋体" w:eastAsia="方正黑体_GBK"/>
                <w:sz w:val="18"/>
                <w:szCs w:val="18"/>
              </w:rPr>
              <w:t>B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乌鲁木齐银行股份有限公司、桂林银行股份有限公司、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江苏镇江农村商业银行股份有限公司、徐州农村商业银行股份有限公司、江苏丰县农村商业银行股份有限公司、江苏句容农村商业银行股份有限公司、江苏仪征农村商业银行股份有限公司、江苏沭阳农村商业银行股份有限公司客户。</w:t>
            </w:r>
          </w:p>
          <w:p>
            <w:pPr>
              <w:pStyle w:val="null10"/>
              <w:spacing w:lineRule="exact" w:line="200"/>
            </w:pPr>
            <w:r>
              <w:rPr>
                <w:rFonts w:ascii="方正黑体_GBK" w:hAnsi="方正黑体_GBK" w:cs="宋体" w:eastAsia="方正黑体_GBK"/>
                <w:sz w:val="18"/>
                <w:szCs w:val="18"/>
              </w:rPr>
              <w:t>C份额：江苏常熟农村商业银行股份有限公司（特定客群）、河北银行股份有限公司（常规客户）、天津农村商业银行股份有限公司（社保专属）、云南红塔银行股份有限公司（财富客户）、江苏扬州农村商业银行股份有限公司客户。</w:t>
            </w:r>
          </w:p>
          <w:p>
            <w:pPr>
              <w:pStyle w:val="null10"/>
              <w:spacing w:lineRule="exact" w:line="200"/>
            </w:pPr>
            <w:r>
              <w:rPr>
                <w:rFonts w:ascii="方正黑体_GBK" w:hAnsi="方正黑体_GBK" w:cs="宋体" w:eastAsia="方正黑体_GBK"/>
                <w:sz w:val="18"/>
                <w:szCs w:val="18"/>
              </w:rPr>
              <w:t>D份额：河北银行股份有限公司（分行特供）、秦皇岛银行股份有限公司、天津农村商业银行股份有限公司（专属客户）、云南红塔银行股份有限公司（新客户）、桂林银行股份有限公司、甘肃银行股份有限公司、江苏镇江农村商业银行股份有限公司（20万元起购）、江苏紫金农村商业银行股份有限公司、江苏沛县农村商业银行股份有限公司客户。</w:t>
            </w:r>
          </w:p>
          <w:p>
            <w:pPr>
              <w:pStyle w:val="null10"/>
              <w:spacing w:lineRule="exact" w:line="200"/>
            </w:pPr>
            <w:r>
              <w:rPr>
                <w:rFonts w:ascii="方正黑体_GBK" w:hAnsi="方正黑体_GBK" w:cs="宋体" w:eastAsia="方正黑体_GBK"/>
                <w:sz w:val="18"/>
                <w:szCs w:val="18"/>
              </w:rPr>
              <w:t>E份额：天津农村商业银行股份有限公司（特邀客户）、云南红塔银行股份有限公司（财富300万客户）、江苏镇江农村商业银行股份有限公司（100万元起购）、江苏沛县农村商业银行股份有限公司（高端客户专属）客户。</w:t>
            </w:r>
          </w:p>
          <w:p>
            <w:pPr>
              <w:pStyle w:val="null10"/>
              <w:spacing w:lineRule="exact" w:line="200"/>
            </w:pPr>
            <w:r>
              <w:rPr>
                <w:rFonts w:ascii="方正黑体_GBK" w:hAnsi="方正黑体_GBK" w:cs="宋体" w:eastAsia="方正黑体_GBK"/>
                <w:sz w:val="18"/>
                <w:szCs w:val="18"/>
              </w:rPr>
              <w:t>F份额：南京银行私行客户、钻石客户、新晋私行客户、新晋钻石户及南京银行认定的其他符合标准的客户。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G份额：成都银行股份有限公司客户。</w:t>
            </w:r>
          </w:p>
          <w:p>
            <w:pPr>
              <w:pStyle w:val="null10"/>
              <w:spacing w:lineRule="exact" w:line="200"/>
            </w:pPr>
            <w:r>
              <w:rPr>
                <w:rFonts w:ascii="方正黑体_GBK" w:hAnsi="方正黑体_GBK" w:cs="宋体" w:eastAsia="方正黑体_GBK"/>
                <w:sz w:val="18"/>
                <w:szCs w:val="18"/>
              </w:rPr>
              <w:t>I份额：南京银行股份有限公司（北京分行及杭州分行新客、新资金（5万）、代发）客户。</w:t>
            </w:r>
          </w:p>
          <w:p>
            <w:pPr>
              <w:pStyle w:val="null10"/>
              <w:spacing w:lineRule="exact" w:line="200"/>
            </w:pPr>
            <w:r>
              <w:rPr>
                <w:rFonts w:ascii="方正黑体_GBK" w:hAnsi="方正黑体_GBK" w:cs="宋体" w:eastAsia="方正黑体_GBK"/>
                <w:sz w:val="18"/>
                <w:szCs w:val="18"/>
              </w:rPr>
              <w:t>J份额：兴业银行股份有限公司客户。</w:t>
            </w:r>
          </w:p>
          <w:p>
            <w:pPr>
              <w:pStyle w:val="null10"/>
              <w:spacing w:lineRule="exact" w:line="200"/>
            </w:pPr>
            <w:r>
              <w:rPr>
                <w:rFonts w:ascii="方正黑体_GBK" w:hAnsi="方正黑体_GBK" w:cs="宋体" w:eastAsia="方正黑体_GBK"/>
                <w:sz w:val="18"/>
                <w:szCs w:val="18"/>
              </w:rPr>
              <w:t>K份额：交通银行股份有限公司客户。</w:t>
            </w:r>
          </w:p>
          <w:p>
            <w:pPr>
              <w:pStyle w:val="null10"/>
              <w:spacing w:lineRule="exact" w:line="200"/>
            </w:pPr>
            <w:r>
              <w:rPr>
                <w:rFonts w:ascii="方正黑体_GBK" w:hAnsi="方正黑体_GBK" w:cs="宋体" w:eastAsia="方正黑体_GBK"/>
                <w:sz w:val="18"/>
                <w:szCs w:val="18"/>
              </w:rPr>
              <w:t>M份额：苏州银行股份有限公司、嘉兴银行股份有限公司、宁波通商银行股份有限公司客户。</w:t>
            </w:r>
          </w:p>
          <w:p>
            <w:pPr>
              <w:pStyle w:val="null10"/>
              <w:spacing w:lineRule="exact" w:line="200"/>
            </w:pPr>
            <w:r>
              <w:rPr>
                <w:rFonts w:ascii="方正黑体_GBK" w:hAnsi="方正黑体_GBK" w:cs="宋体" w:eastAsia="方正黑体_GBK"/>
                <w:sz w:val="18"/>
                <w:szCs w:val="18"/>
              </w:rPr>
              <w:t>N份额：苏州银行股份有限公司（代发与新资金专属）客户。</w:t>
            </w:r>
          </w:p>
          <w:p>
            <w:pPr>
              <w:pStyle w:val="null10"/>
              <w:spacing w:lineRule="exact" w:line="200"/>
            </w:pPr>
            <w:r>
              <w:rPr>
                <w:rFonts w:ascii="方正黑体_GBK" w:hAnsi="方正黑体_GBK" w:cs="宋体" w:eastAsia="方正黑体_GBK"/>
                <w:sz w:val="18"/>
                <w:szCs w:val="18"/>
              </w:rPr>
              <w:t>O份额：广发银行股份有限公司所有个人客户。</w:t>
            </w:r>
          </w:p>
          <w:p>
            <w:pPr>
              <w:pStyle w:val="null10"/>
              <w:spacing w:lineRule="exact" w:line="200"/>
            </w:pPr>
            <w:r>
              <w:rPr>
                <w:rFonts w:ascii="方正黑体_GBK" w:hAnsi="方正黑体_GBK" w:cs="宋体" w:eastAsia="方正黑体_GBK"/>
                <w:sz w:val="18"/>
                <w:szCs w:val="18"/>
              </w:rPr>
              <w:t>P份额：广发银行股份有限公司南京分行个人客户。</w:t>
            </w:r>
          </w:p>
          <w:p>
            <w:pPr>
              <w:pStyle w:val="null10"/>
              <w:spacing w:lineRule="exact" w:line="200"/>
            </w:pPr>
            <w:r>
              <w:rPr>
                <w:rFonts w:ascii="方正黑体_GBK" w:hAnsi="方正黑体_GBK" w:cs="宋体" w:eastAsia="方正黑体_GBK"/>
                <w:sz w:val="18"/>
                <w:szCs w:val="18"/>
              </w:rPr>
              <w:t>A2份额：南京银行股份有限公司、九江银行股份有限公司、江苏江阴农村商业银行股份有限公司客户。</w:t>
            </w:r>
          </w:p>
          <w:p>
            <w:pPr>
              <w:pStyle w:val="null10"/>
              <w:spacing w:lineRule="exact" w:line="200"/>
            </w:pPr>
            <w:r>
              <w:rPr>
                <w:rFonts w:ascii="方正黑体_GBK" w:hAnsi="方正黑体_GBK" w:cs="宋体" w:eastAsia="方正黑体_GBK"/>
                <w:sz w:val="18"/>
                <w:szCs w:val="18"/>
              </w:rPr>
              <w:t>B2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乌鲁木齐银行股份有限公司、桂林银行股份有限公司、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江苏镇江农村商业银行股份有限公司、徐州农村商业银行股份有限公司、江苏丰县农村商业银行股份有限公司、江苏句容农村商业银行股份有限公司、江苏仪征农村商业银行股份有限公司、江苏沭阳农村商业银行股份有限公司客户。</w:t>
            </w:r>
          </w:p>
          <w:p>
            <w:pPr>
              <w:pStyle w:val="null10"/>
              <w:spacing w:lineRule="exact" w:line="200"/>
            </w:pPr>
            <w:r>
              <w:rPr>
                <w:rFonts w:ascii="方正黑体_GBK" w:hAnsi="方正黑体_GBK" w:cs="宋体" w:eastAsia="方正黑体_GBK"/>
                <w:sz w:val="18"/>
                <w:szCs w:val="18"/>
              </w:rPr>
              <w:t>C2份额：江苏常熟农村商业银行股份有限公司（特定客群）、河北银行股份有限公司（常规客户）、天津农村商业银行股份有限公司（社保专属）、云南红塔银行股份有限公司（财富客户）、江苏扬州农村商业银行股份有限公司客户。</w:t>
            </w:r>
          </w:p>
          <w:p>
            <w:pPr>
              <w:pStyle w:val="null10"/>
              <w:spacing w:lineRule="exact" w:line="200"/>
            </w:pPr>
            <w:r>
              <w:rPr>
                <w:rFonts w:ascii="方正黑体_GBK" w:hAnsi="方正黑体_GBK" w:cs="宋体" w:eastAsia="方正黑体_GBK"/>
                <w:sz w:val="18"/>
                <w:szCs w:val="18"/>
              </w:rPr>
              <w:t>D2份额：河北银行股份有限公司（分行特供）、秦皇岛银行股份有限公司、天津农村商业银行股份有限公司（专属客户）、云南红塔银行股份有限公司（新客户）、桂林银行股份有限公司、甘肃银行股份有限公司、江苏镇江农村商业银行股份有限公司（20万元起购）、江苏紫金农村商业银行股份有限公司、江苏沛县农村商业银行股份有限公司客户。</w:t>
            </w:r>
          </w:p>
          <w:p>
            <w:pPr>
              <w:pStyle w:val="null10"/>
              <w:spacing w:lineRule="exact" w:line="200"/>
            </w:pPr>
            <w:r>
              <w:rPr>
                <w:rFonts w:ascii="方正黑体_GBK" w:hAnsi="方正黑体_GBK" w:cs="宋体" w:eastAsia="方正黑体_GBK"/>
                <w:sz w:val="18"/>
                <w:szCs w:val="18"/>
              </w:rPr>
              <w:t>E2份额：天津农村商业银行股份有限公司（特邀客户）、云南红塔银行股份有限公司（财富300万客户）、江苏镇江农村商业银行股份有限公司（100万元起购）、江苏沛县农村商业银行股份有限公司（高端客户专属）客户。</w:t>
            </w:r>
          </w:p>
          <w:p>
            <w:pPr>
              <w:pStyle w:val="null10"/>
              <w:spacing w:lineRule="exact" w:line="200"/>
            </w:pPr>
            <w:r>
              <w:rPr>
                <w:rFonts w:ascii="方正黑体_GBK" w:hAnsi="方正黑体_GBK" w:cs="宋体" w:eastAsia="方正黑体_GBK"/>
                <w:sz w:val="18"/>
                <w:szCs w:val="18"/>
              </w:rPr>
              <w:t>A3份额：南京银行股份有限公司、九江银行股份有限公司、江苏江阴农村商业银行股份有限公司客户。</w:t>
            </w:r>
          </w:p>
          <w:p>
            <w:pPr>
              <w:pStyle w:val="null10"/>
              <w:spacing w:lineRule="exact" w:line="200"/>
            </w:pPr>
            <w:r>
              <w:rPr>
                <w:rFonts w:ascii="方正黑体_GBK" w:hAnsi="方正黑体_GBK" w:cs="宋体" w:eastAsia="方正黑体_GBK"/>
                <w:sz w:val="18"/>
                <w:szCs w:val="18"/>
              </w:rPr>
              <w:t>B3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乌鲁木齐银行股份有限公司、桂林银行股份有限公司、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江苏镇江农村商业银行股份有限公司、徐州农村商业银行股份有限公司、江苏丰县农村商业银行股份有限公司、江苏句容农村商业银行股份有限公司、江苏仪征农村商业银行股份有限公司、江苏沭阳农村商业银行股份有限公司客户。</w:t>
            </w:r>
          </w:p>
          <w:p>
            <w:pPr>
              <w:pStyle w:val="null10"/>
              <w:spacing w:lineRule="exact" w:line="200"/>
            </w:pPr>
            <w:r>
              <w:rPr>
                <w:rFonts w:ascii="方正黑体_GBK" w:hAnsi="方正黑体_GBK" w:cs="宋体" w:eastAsia="方正黑体_GBK"/>
                <w:sz w:val="18"/>
                <w:szCs w:val="18"/>
              </w:rPr>
              <w:t>C3份额：江苏常熟农村商业银行股份有限公司（特定客群）、河北银行股份有限公司（常规客户）、天津农村商业银行股份有限公司（社保专属）、云南红塔银行股份有限公司（财富客户）、江苏扬州农村商业银行股份有限公司客户。</w:t>
            </w:r>
          </w:p>
          <w:p>
            <w:pPr>
              <w:pStyle w:val="null10"/>
              <w:spacing w:lineRule="exact" w:line="200"/>
            </w:pPr>
            <w:r>
              <w:rPr>
                <w:rFonts w:ascii="方正黑体_GBK" w:hAnsi="方正黑体_GBK" w:cs="宋体" w:eastAsia="方正黑体_GBK"/>
                <w:sz w:val="18"/>
                <w:szCs w:val="18"/>
              </w:rPr>
              <w:t>D3份额：河北银行股份有限公司（分行特供）、秦皇岛银行股份有限公司、天津农村商业银行股份有限公司（专属客户）、云南红塔银行股份有限公司（新客户）、桂林银行股份有限公司、甘肃银行股份有限公司、江苏镇江农村商业银行股份有限公司（20万元起购）、江苏紫金农村商业银行股份有限公司、江苏沛县农村商业银行股份有限公司客户。</w:t>
            </w:r>
          </w:p>
          <w:p>
            <w:pPr>
              <w:pStyle w:val="null10"/>
              <w:spacing w:lineRule="exact" w:line="200"/>
            </w:pPr>
            <w:r>
              <w:rPr>
                <w:rFonts w:ascii="方正黑体_GBK" w:hAnsi="方正黑体_GBK" w:cs="宋体" w:eastAsia="方正黑体_GBK"/>
                <w:sz w:val="18"/>
                <w:szCs w:val="18"/>
              </w:rPr>
              <w:t>E3份额：天津农村商业银行股份有限公司（特邀客户）、云南红塔银行股份有限公司（财富300万客户）、江苏镇江农村商业银行股份有限公司（100万元起购）、江苏沛县农村商业银行股份有限公司（高端客户专属）客户。</w:t>
            </w:r>
          </w:p>
          <w:p>
            <w:pPr>
              <w:pStyle w:val="null10"/>
              <w:spacing w:lineRule="exact" w:line="200"/>
            </w:pPr>
            <w:r>
              <w:rPr>
                <w:rFonts w:ascii="方正黑体_GBK" w:hAnsi="方正黑体_GBK" w:cs="宋体" w:eastAsia="方正黑体_GBK"/>
                <w:sz w:val="18"/>
                <w:szCs w:val="18"/>
              </w:rPr>
              <w:t>A4份额：南京银行股份有限公司、九江银行股份有限公司、江苏江阴农村商业银行股份有限公司客户。</w:t>
            </w:r>
          </w:p>
          <w:p>
            <w:pPr>
              <w:pStyle w:val="null10"/>
              <w:spacing w:lineRule="exact" w:line="200"/>
            </w:pPr>
            <w:r>
              <w:rPr>
                <w:rFonts w:ascii="方正黑体_GBK" w:hAnsi="方正黑体_GBK" w:cs="宋体" w:eastAsia="方正黑体_GBK"/>
                <w:sz w:val="18"/>
                <w:szCs w:val="18"/>
              </w:rPr>
              <w:t>B4份额： B系列：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乌鲁木齐银行股份有限公司、桂林银行股份有限公司、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江苏镇江农村商业银行股份有限公司、徐州农村商业银行股份有限公司、江苏丰县农村商业银行股份有限公司、江苏句容农村商业银行股份有限公司、江苏仪征农村商业银行股份有限公司、江苏沭阳农村商业银行股份有限公司客户。</w:t>
            </w:r>
          </w:p>
          <w:p>
            <w:pPr>
              <w:pStyle w:val="null10"/>
              <w:spacing w:lineRule="exact" w:line="200"/>
            </w:pPr>
            <w:r>
              <w:rPr>
                <w:rFonts w:ascii="方正黑体_GBK" w:hAnsi="方正黑体_GBK" w:cs="宋体" w:eastAsia="方正黑体_GBK"/>
                <w:sz w:val="18"/>
                <w:szCs w:val="18"/>
              </w:rPr>
              <w:t>C4份额：江苏常熟农村商业银行股份有限公司（特定客群）、河北银行股份有限公司（常规客户）、天津农村商业银行股份有限公司（社保专属）、云南红塔银行股份有限公司（财富客户）、江苏扬州农村商业银行股份有限公司客户。</w:t>
            </w:r>
          </w:p>
          <w:p>
            <w:pPr>
              <w:pStyle w:val="null10"/>
              <w:spacing w:lineRule="exact" w:line="200"/>
            </w:pPr>
            <w:r>
              <w:rPr>
                <w:rFonts w:ascii="方正黑体_GBK" w:hAnsi="方正黑体_GBK" w:cs="宋体" w:eastAsia="方正黑体_GBK"/>
                <w:sz w:val="18"/>
                <w:szCs w:val="18"/>
              </w:rPr>
              <w:t>D4份额：河北银行股份有限公司（分行特供）、秦皇岛银行股份有限公司、天津农村商业银行股份有限公司（专属客户）、云南红塔银行股份有限公司（新客户）、桂林银行股份有限公司、甘肃银行股份有限公司、江苏镇江农村商业银行股份有限公司（20万元起购）、江苏紫金农村商业银行股份有限公司、江苏沛县农村商业银行股份有限公司客户。</w:t>
            </w:r>
          </w:p>
          <w:p>
            <w:pPr>
              <w:pStyle w:val="null10"/>
              <w:spacing w:lineRule="exact" w:line="200"/>
            </w:pPr>
            <w:r>
              <w:rPr>
                <w:rFonts w:ascii="方正黑体_GBK" w:hAnsi="方正黑体_GBK" w:cs="宋体" w:eastAsia="方正黑体_GBK"/>
                <w:sz w:val="18"/>
                <w:szCs w:val="18"/>
              </w:rPr>
              <w:t>E4份额：天津农村商业银行股份有限公司（特邀客户）、云南红塔银行股份有限公司（财富300万客户）、江苏镇江农村商业银行股份有限公司（100万元起购）、江苏沛县农村商业银行股份有限公司（高端客户专属）客户。</w:t>
            </w:r>
          </w:p>
          <w:p>
            <w:pPr>
              <w:pStyle w:val="null10"/>
              <w:spacing w:lineRule="exact" w:line="200"/>
            </w:pPr>
            <w:r>
              <w:rPr>
                <w:rFonts w:ascii="方正黑体_GBK" w:hAnsi="方正黑体_GBK" w:cs="宋体" w:eastAsia="方正黑体_GBK"/>
                <w:sz w:val="18"/>
                <w:szCs w:val="18"/>
              </w:rPr>
              <w:t>F2份额：南京银行私行客户、钻石客户、新晋私行客户、新晋钻石户及南京银行认定的其他符合标准的客户。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F3份额：南京银行私行客户、钻石客户、新晋私行客户、新晋钻石户及南京银行认定的其他符合标准的客户。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G2份额：成都银行股份有限公司客户。</w:t>
            </w:r>
          </w:p>
          <w:p>
            <w:pPr>
              <w:pStyle w:val="null10"/>
              <w:spacing w:lineRule="exact" w:line="200"/>
            </w:pPr>
            <w:r>
              <w:rPr>
                <w:rFonts w:ascii="方正黑体_GBK" w:hAnsi="方正黑体_GBK" w:cs="宋体" w:eastAsia="方正黑体_GBK"/>
                <w:sz w:val="18"/>
                <w:szCs w:val="18"/>
              </w:rPr>
              <w:t>G3份额：成都银行股份有限公司客户。</w:t>
            </w:r>
          </w:p>
          <w:p>
            <w:pPr>
              <w:pStyle w:val="null10"/>
              <w:spacing w:lineRule="exact" w:line="200"/>
            </w:pPr>
            <w:r>
              <w:rPr>
                <w:rFonts w:ascii="方正黑体_GBK" w:hAnsi="方正黑体_GBK" w:cs="宋体" w:eastAsia="方正黑体_GBK"/>
                <w:sz w:val="18"/>
                <w:szCs w:val="18"/>
              </w:rPr>
              <w:t>F4份额：南京银行私行客户、钻石客户、新晋私行客户、新晋钻石户及南京银行认定的其他符合标准的客户。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G4份额：成都银行股份有限公司客户。</w:t>
            </w:r>
          </w:p>
          <w:p>
            <w:pPr>
              <w:pStyle w:val="null10"/>
              <w:spacing w:lineRule="exact" w:line="200"/>
            </w:pPr>
            <w:r>
              <w:rPr>
                <w:rFonts w:ascii="方正黑体_GBK" w:hAnsi="方正黑体_GBK" w:cs="宋体" w:eastAsia="方正黑体_GBK"/>
                <w:sz w:val="18"/>
                <w:szCs w:val="18"/>
              </w:rPr>
              <w:t>H2份额：南京银行股份有限公司代发客户。</w:t>
            </w:r>
          </w:p>
          <w:p>
            <w:pPr>
              <w:pStyle w:val="null10"/>
              <w:spacing w:lineRule="exact" w:line="200"/>
            </w:pPr>
            <w:r>
              <w:rPr>
                <w:rFonts w:ascii="方正黑体_GBK" w:hAnsi="方正黑体_GBK" w:cs="宋体" w:eastAsia="方正黑体_GBK"/>
                <w:sz w:val="18"/>
                <w:szCs w:val="18"/>
              </w:rPr>
              <w:t>J2份额：兴业银行股份有限公司客户。</w:t>
            </w:r>
          </w:p>
          <w:p>
            <w:pPr>
              <w:pStyle w:val="null10"/>
              <w:spacing w:lineRule="exact" w:line="200"/>
            </w:pPr>
            <w:r>
              <w:rPr>
                <w:rFonts w:ascii="方正黑体_GBK" w:hAnsi="方正黑体_GBK" w:cs="宋体" w:eastAsia="方正黑体_GBK"/>
                <w:sz w:val="18"/>
                <w:szCs w:val="18"/>
              </w:rPr>
              <w:t>K2份额：交通银行股份有限公司客户。</w:t>
            </w:r>
          </w:p>
          <w:p>
            <w:pPr>
              <w:pStyle w:val="null10"/>
              <w:spacing w:lineRule="exact" w:line="200"/>
            </w:pPr>
            <w:r>
              <w:rPr>
                <w:rFonts w:ascii="方正黑体_GBK" w:hAnsi="方正黑体_GBK" w:cs="宋体" w:eastAsia="方正黑体_GBK"/>
                <w:sz w:val="18"/>
                <w:szCs w:val="18"/>
              </w:rPr>
              <w:t>J3份额：兴业银行股份有限公司客户。</w:t>
            </w:r>
          </w:p>
          <w:p>
            <w:pPr>
              <w:pStyle w:val="null10"/>
              <w:spacing w:lineRule="exact" w:line="200"/>
            </w:pPr>
            <w:r>
              <w:rPr>
                <w:rFonts w:ascii="方正黑体_GBK" w:hAnsi="方正黑体_GBK" w:cs="宋体" w:eastAsia="方正黑体_GBK"/>
                <w:sz w:val="18"/>
                <w:szCs w:val="18"/>
              </w:rPr>
              <w:t>K3份额：交通银行股份有限公司客户。</w:t>
            </w:r>
          </w:p>
          <w:p>
            <w:pPr>
              <w:pStyle w:val="null10"/>
              <w:spacing w:lineRule="exact" w:line="200"/>
            </w:pPr>
            <w:r>
              <w:rPr>
                <w:rFonts w:ascii="方正黑体_GBK" w:hAnsi="方正黑体_GBK" w:cs="宋体" w:eastAsia="方正黑体_GBK"/>
                <w:sz w:val="18"/>
                <w:szCs w:val="18"/>
              </w:rPr>
              <w:t>J4份额：兴业银行股份有限公司客户。</w:t>
            </w:r>
          </w:p>
          <w:p>
            <w:pPr>
              <w:pStyle w:val="null10"/>
              <w:spacing w:lineRule="exact" w:line="200"/>
            </w:pPr>
            <w:r>
              <w:rPr>
                <w:rFonts w:ascii="方正黑体_GBK" w:hAnsi="方正黑体_GBK" w:cs="宋体" w:eastAsia="方正黑体_GBK"/>
                <w:sz w:val="18"/>
                <w:szCs w:val="18"/>
              </w:rPr>
              <w:t>K4份额：交通银行股份有限公司客户。</w:t>
            </w:r>
          </w:p>
          <w:p>
            <w:pPr>
              <w:pStyle w:val="null10"/>
              <w:spacing w:lineRule="exact" w:line="200"/>
            </w:pPr>
            <w:r>
              <w:rPr>
                <w:rFonts w:ascii="方正黑体_GBK" w:hAnsi="方正黑体_GBK" w:cs="宋体" w:eastAsia="方正黑体_GBK"/>
                <w:sz w:val="18"/>
                <w:szCs w:val="18"/>
              </w:rPr>
              <w:t>L4份额：兴业银行股份有限公司南京分行客户。</w:t>
            </w:r>
          </w:p>
          <w:p>
            <w:pPr>
              <w:pStyle w:val="null10"/>
              <w:spacing w:lineRule="exact" w:line="200"/>
            </w:pPr>
            <w:r>
              <w:rPr>
                <w:rFonts w:ascii="方正黑体_GBK" w:hAnsi="方正黑体_GBK" w:cs="宋体" w:eastAsia="方正黑体_GBK"/>
                <w:sz w:val="18"/>
                <w:szCs w:val="18"/>
              </w:rPr>
              <w:t>M2份额：苏州银行股份有限公司、嘉兴银行股份有限公司、宁波通商银行股份有限公司客户。</w:t>
            </w:r>
          </w:p>
          <w:p>
            <w:pPr>
              <w:pStyle w:val="null10"/>
              <w:spacing w:lineRule="exact" w:line="200"/>
            </w:pPr>
            <w:r>
              <w:rPr>
                <w:rFonts w:ascii="方正黑体_GBK" w:hAnsi="方正黑体_GBK" w:cs="宋体" w:eastAsia="方正黑体_GBK"/>
                <w:sz w:val="18"/>
                <w:szCs w:val="18"/>
              </w:rPr>
              <w:t>M3份额：苏州银行股份有限公司、嘉兴银行股份有限公司、宁波通商银行股份有限公司客户。</w:t>
            </w:r>
          </w:p>
          <w:p>
            <w:pPr>
              <w:pStyle w:val="null10"/>
              <w:spacing w:lineRule="exact" w:line="200"/>
            </w:pPr>
            <w:r>
              <w:rPr>
                <w:rFonts w:ascii="方正黑体_GBK" w:hAnsi="方正黑体_GBK" w:cs="宋体" w:eastAsia="方正黑体_GBK"/>
                <w:sz w:val="18"/>
                <w:szCs w:val="18"/>
              </w:rPr>
              <w:t>M4份额：苏州银行股份有限公司、嘉兴银行股份有限公司、宁波通商银行股份有限公司客户。</w:t>
            </w:r>
          </w:p>
          <w:p>
            <w:pPr>
              <w:pStyle w:val="null10"/>
              <w:spacing w:lineRule="exact" w:line="200"/>
            </w:pPr>
            <w:r>
              <w:rPr>
                <w:rFonts w:ascii="方正黑体_GBK" w:hAnsi="方正黑体_GBK" w:cs="宋体" w:eastAsia="方正黑体_GBK"/>
                <w:sz w:val="18"/>
                <w:szCs w:val="18"/>
              </w:rPr>
              <w:t>O2份额：广发银行股份有限公司所有个人客户。</w:t>
            </w:r>
          </w:p>
          <w:p>
            <w:pPr>
              <w:pStyle w:val="null10"/>
              <w:spacing w:lineRule="exact" w:line="200"/>
            </w:pPr>
            <w:r>
              <w:rPr>
                <w:rFonts w:ascii="方正黑体_GBK" w:hAnsi="方正黑体_GBK" w:cs="宋体" w:eastAsia="方正黑体_GBK"/>
                <w:sz w:val="18"/>
                <w:szCs w:val="18"/>
              </w:rPr>
              <w:t>P2份额：广发银行股份有限公司南京分行个人客户。</w:t>
            </w:r>
          </w:p>
          <w:p>
            <w:pPr>
              <w:pStyle w:val="null10"/>
              <w:spacing w:lineRule="exact" w:line="200"/>
            </w:pPr>
            <w:r>
              <w:rPr>
                <w:rFonts w:ascii="方正黑体_GBK" w:hAnsi="方正黑体_GBK" w:cs="宋体" w:eastAsia="方正黑体_GBK"/>
                <w:sz w:val="18"/>
                <w:szCs w:val="18"/>
              </w:rPr>
              <w:t>O3份额：广发银行股份有限公司所有个人客户。</w:t>
            </w:r>
          </w:p>
          <w:p>
            <w:pPr>
              <w:pStyle w:val="null10"/>
              <w:spacing w:lineRule="exact" w:line="200"/>
            </w:pPr>
            <w:r>
              <w:rPr>
                <w:rFonts w:ascii="方正黑体_GBK" w:hAnsi="方正黑体_GBK" w:cs="宋体" w:eastAsia="方正黑体_GBK"/>
                <w:sz w:val="18"/>
                <w:szCs w:val="18"/>
              </w:rPr>
              <w:t>P3份额：广发银行股份有限公司南京分行个人客户。</w:t>
            </w:r>
          </w:p>
          <w:p>
            <w:pPr>
              <w:pStyle w:val="null10"/>
              <w:spacing w:lineRule="exact" w:line="200"/>
            </w:pPr>
            <w:r>
              <w:rPr>
                <w:rFonts w:ascii="方正黑体_GBK" w:hAnsi="方正黑体_GBK" w:cs="宋体" w:eastAsia="方正黑体_GBK"/>
                <w:sz w:val="18"/>
                <w:szCs w:val="18"/>
              </w:rPr>
              <w:t>O4份额：广发银行股份有限公司所有个人客户。</w:t>
            </w:r>
          </w:p>
          <w:p>
            <w:pPr>
              <w:pStyle w:val="null10"/>
              <w:spacing w:lineRule="exact" w:line="200"/>
            </w:pPr>
            <w:r>
              <w:rPr>
                <w:rFonts w:ascii="方正黑体_GBK" w:hAnsi="方正黑体_GBK" w:cs="宋体" w:eastAsia="方正黑体_GBK"/>
                <w:sz w:val="18"/>
                <w:szCs w:val="18"/>
              </w:rPr>
              <w:t>P4份额：广发银行股份有限公司南京分行个人客户。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G份额/I份额/J份额/K份额/M份额/A2份额/B2份额/C2份额/D2份额/E2份额/A3份额/B3份额/C3份额/D3份额/E3份额/A4份额/B4份额/C4份额/D4份额/E4份额/G2份额/G3份额/G4份额/H2份额/J2份额/K2份额/J3份额/K3份额/J4份额/K4份额/L4份额/M2份额/M3份额/M4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F份额/N份额/O份额/P份额/F2份额/F3份额/F4份额/O2份额/P2份额/O3份额/P3份额/O4份额/P4份额：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2019年07月24日 09:00—2019年07月30日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本理财产品每期封闭期为一年，当期封闭期起止时间以公告为准。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2019年07月31日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2019年07月31日—实际到期日（若本理财产品未被提前终止或延期终止，则实际到期日即为名义到期日，存续期限10年；若本理财产品被提前终止或延期终止，则实际到期日为提前终止日或延期终止日。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cs="宋体" w:eastAsia="方正黑体_GBK"/>
                <w:sz w:val="18"/>
                <w:b/>
                <w:szCs w:val="18"/>
              </w:rPr>
              <w:t>理财产品管理人有权根据市场变化情况调整产品存续期，届时管理人将调整相关日期并进行信息披露。）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2029年12月28日</w:t>
            </w:r>
            <w:r>
              <w:rPr>
                <w:rFonts w:ascii="方正黑体_GBK" w:eastAsia="方正黑体_GBK" w:cs="Times New Roman" w:hint="eastAsia" w:hAnsi="方正黑体_GBK"/>
                <w:b/>
                <w:bCs/>
                <w:caps w:val="0"/>
                <w:smallCaps w:val="0"/>
                <w:snapToGrid/>
                <w:vanish w:val="0"/>
                <w:color w:val="auto"/>
                <w:kern w:val="0"/>
                <w:sz w:val="18"/>
                <w:szCs w:val="18"/>
                <w:vertAlign w:val="baseline"/>
              </w:rPr>
              <w:t>（如遇国家法定节假日，管理人可结合国家法定节假日安排进行调整，并进行</w:t>
            </w:r>
            <w:r>
              <w:rPr>
                <w:rFonts w:ascii="方正黑体_GBK" w:eastAsia="方正黑体_GBK" w:hint="eastAsia" w:hAnsi="方正黑体_GBK"/>
                <w:b/>
                <w:bCs/>
                <w:caps w:val="0"/>
                <w:smallCaps w:val="0"/>
                <w:snapToGrid/>
                <w:vanish w:val="0"/>
                <w:color w:val="auto"/>
                <w:kern w:val="0"/>
                <w:sz w:val="18"/>
                <w:szCs w:val="18"/>
                <w:vertAlign w:val="baseline"/>
              </w:rPr>
              <w:t>信息披露</w:t>
            </w:r>
            <w:r>
              <w:rPr>
                <w:rFonts w:ascii="方正黑体_GBK" w:eastAsia="方正黑体_GBK" w:cs="Times New Roman" w:hint="eastAsia" w:hAnsi="方正黑体_GBK"/>
                <w:b/>
                <w:bCs/>
                <w:caps w:val="0"/>
                <w:smallCaps w:val="0"/>
                <w:snapToGrid/>
                <w:vanish w:val="0"/>
                <w:color w:val="auto"/>
                <w:kern w:val="0"/>
                <w:sz w:val="18"/>
                <w:szCs w:val="18"/>
                <w:vertAlign w:val="baseline"/>
              </w:rPr>
              <w:t>）</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bookmarkStart w:id="0" w:name="_GoBack"/>
            <w:bookmarkEnd w:id="0"/>
            <w:r>
              <w:rPr>
                <w:rFonts w:ascii="方正黑体_GBK" w:eastAsia="方正黑体_GBK" w:cs="Times New Roman" w:hint="eastAsia" w:hAnsi="方正黑体_GBK"/>
                <w:caps w:val="0"/>
                <w:smallCaps w:val="0"/>
                <w:snapToGrid/>
                <w:vanish w:val="0"/>
                <w:color w:val="auto"/>
                <w:kern w:val="0"/>
                <w:sz w:val="18"/>
                <w:szCs w:val="18"/>
                <w:vertAlign w:val="baseline"/>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本理财产品存续期内按每一年开放申购，如遇节假日调整，申购开放日和申购确认日以公告为准。</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申购/赎回规则</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A份额/F份额：本次开放期为2025年8月14日9：00至2025年8月20日17：00,下一个开放期为2026年9月24日9：00至2026年10月8日17：00，投资者可以提交或撤销申购/赎回申请。</w:t>
            </w:r>
            <w:r>
              <w:rPr>
                <w:rFonts w:ascii="方正黑体_GBK" w:hAnsi="方正黑体_GBK" w:eastAsia="方正黑体_GBK"/>
              </w:rPr>
              <w:br/>
            </w:r>
            <w:r>
              <w:rPr>
                <w:rFonts w:ascii="方正黑体_GBK" w:hAnsi="方正黑体_GBK" w:cs="宋体" w:eastAsia="方正黑体_GBK"/>
                <w:sz w:val="18"/>
                <w:szCs w:val="18"/>
              </w:rPr>
              <w:t>B份额/C份额/D份额/E份额/G份额/I份额/J份额/K份额/M份额/N份额/O份额/P份额：本次开放期为2025年8月14日9：00至2025年8月20日17：00，投资者可以提交或撤销认/申购申请；确认成功的份额均将于下一个开放期（2026年9月24日9：00至2026年10月8日17：00）由系统自动发起赎回申请。</w:t>
            </w:r>
            <w:r>
              <w:rPr>
                <w:rFonts w:ascii="方正黑体_GBK" w:hAnsi="方正黑体_GBK" w:eastAsia="方正黑体_GBK"/>
              </w:rPr>
              <w:br/>
            </w:r>
            <w:r>
              <w:rPr>
                <w:rFonts w:ascii="方正黑体_GBK" w:hAnsi="方正黑体_GBK" w:cs="宋体" w:eastAsia="方正黑体_GBK"/>
                <w:sz w:val="18"/>
                <w:szCs w:val="18"/>
              </w:rPr>
              <w:t>A2份额/F2份额：本次开放期为2025年8月21日9：00至2025年8月27日17：00,下一个赎回开放期为2026年9月24日9：00至2026年10月8日17：00，投资者可以提交或撤销赎回申请，下一个申购开放期为2026年10月9日9：00至2026年10月14日17：00，投资者可以提交或撤销申购申请。</w:t>
            </w:r>
            <w:r>
              <w:rPr>
                <w:rFonts w:ascii="方正黑体_GBK" w:hAnsi="方正黑体_GBK" w:eastAsia="方正黑体_GBK"/>
              </w:rPr>
              <w:br/>
            </w:r>
            <w:r>
              <w:rPr>
                <w:rFonts w:ascii="方正黑体_GBK" w:hAnsi="方正黑体_GBK" w:cs="宋体" w:eastAsia="方正黑体_GBK"/>
                <w:sz w:val="18"/>
                <w:szCs w:val="18"/>
              </w:rPr>
              <w:t>B2份额/C2份额/D2份额/E2份额/G2份额/H2份额/J2份额/K2份额/M2份额/O2份额/P2份额：本次开放期为2025年8月21日9：00至2025年8月27日17：00，投资者可以提交或撤销认/申购申请；确认成功的份额均将于下一个开放期（2026年9月24日9：00至2026年10月8日17：00）由系统自动发起赎回申请。</w:t>
            </w:r>
            <w:r>
              <w:rPr>
                <w:rFonts w:ascii="方正黑体_GBK" w:hAnsi="方正黑体_GBK" w:eastAsia="方正黑体_GBK"/>
              </w:rPr>
              <w:br/>
            </w:r>
            <w:r>
              <w:rPr>
                <w:rFonts w:ascii="方正黑体_GBK" w:hAnsi="方正黑体_GBK" w:cs="宋体" w:eastAsia="方正黑体_GBK"/>
                <w:sz w:val="18"/>
                <w:szCs w:val="18"/>
              </w:rPr>
              <w:t>A3份额/F3份额：本次开放期为2025年8月28日9：00至2025年9月3日17：00,下一个赎回开放期为2026年9月24日9：00至2026年10月8日17：00，投资者可以提交或撤销赎回申请，下一个申购开放期为2026年10月15日9：00至2026年10月21日17：00，投资者可以提交或撤销申购申请。</w:t>
            </w:r>
            <w:r>
              <w:rPr>
                <w:rFonts w:ascii="方正黑体_GBK" w:hAnsi="方正黑体_GBK" w:eastAsia="方正黑体_GBK"/>
              </w:rPr>
              <w:br/>
            </w:r>
            <w:r>
              <w:rPr>
                <w:rFonts w:ascii="方正黑体_GBK" w:hAnsi="方正黑体_GBK" w:cs="宋体" w:eastAsia="方正黑体_GBK"/>
                <w:sz w:val="18"/>
                <w:szCs w:val="18"/>
              </w:rPr>
              <w:t>B3份额/C3份额/D3份额/E3份额/G3份额/J3份额/K3份额/M3份额/O3份额/P3份额：本次开放期为2025年8月28日9：00至2025年9月3日17：00，投资者可以提交或撤销认/申购申请；确认成功的份额均将于下一个开放期（2026年9月24日9：00至2026年10月8日17：00）由系统自动发起赎回申请。</w:t>
            </w:r>
            <w:r>
              <w:rPr>
                <w:rFonts w:ascii="方正黑体_GBK" w:hAnsi="方正黑体_GBK" w:eastAsia="方正黑体_GBK"/>
              </w:rPr>
              <w:br/>
            </w:r>
            <w:r>
              <w:rPr>
                <w:rFonts w:ascii="方正黑体_GBK" w:hAnsi="方正黑体_GBK" w:cs="宋体" w:eastAsia="方正黑体_GBK"/>
                <w:sz w:val="18"/>
                <w:szCs w:val="18"/>
              </w:rPr>
              <w:t>A4份额/F4份额：本次开放期为2025年9月4日9：00至2025年9月10日17：00,下一个赎回开放期为2026年9月24日9：00至2026年10月8日17：00，投资者可以提交或撤销赎回申请，下一个申购开放期为2026年10月22日9：00至2026年10月28日17：00，投资者可以提交或撤销申购申请。</w:t>
            </w:r>
            <w:r>
              <w:rPr>
                <w:rFonts w:ascii="方正黑体_GBK" w:hAnsi="方正黑体_GBK" w:eastAsia="方正黑体_GBK"/>
              </w:rPr>
              <w:br/>
            </w:r>
            <w:r>
              <w:rPr>
                <w:rFonts w:ascii="方正黑体_GBK" w:hAnsi="方正黑体_GBK" w:cs="宋体" w:eastAsia="方正黑体_GBK"/>
                <w:sz w:val="18"/>
                <w:szCs w:val="18"/>
              </w:rPr>
              <w:t>B4份额/C4份额/D4份额/E4份额/G4份额/J4份额/K4份额/L4份额/M4份额/O4份额/P4份额：本次开放期为2025年9月4日9：00至2025年9月10日17：00，投资者可以提交或撤销认/申购申请；确认成功的份额均将于下一个开放期（2026年9月24日9：00至2026年10月8日17：00）由系统自动发起赎回申请。</w:t>
            </w:r>
            <w:r>
              <w:rPr>
                <w:rFonts w:ascii="方正黑体_GBK" w:hAnsi="方正黑体_GBK" w:eastAsia="方正黑体_GBK"/>
              </w:rPr>
              <w:br/>
            </w:r>
            <w:r>
              <w:rPr>
                <w:rFonts w:ascii="方正黑体_GBK" w:hAnsi="方正黑体_GBK" w:cs="宋体" w:eastAsia="方正黑体_GBK"/>
                <w:sz w:val="18"/>
                <w:szCs w:val="18"/>
              </w:rPr>
              <w:t>产品开放期如有调整以管理人公告为准。</w:t>
            </w:r>
            <w:r>
              <w:rPr>
                <w:rFonts w:ascii="方正黑体_GBK" w:hAnsi="方正黑体_GBK" w:eastAsia="方正黑体_GBK"/>
              </w:rPr>
              <w:br/>
            </w:r>
            <w:r>
              <w:rPr>
                <w:rFonts w:ascii="方正黑体_GBK" w:hAnsi="方正黑体_GBK" w:cs="宋体" w:eastAsia="方正黑体_GBK"/>
                <w:sz w:val="18"/>
                <w:szCs w:val="18"/>
              </w:rPr>
              <w:t>在销售机构支持的前提下，认购/申购/赎回开放期末日17:00前可以撤销申购/赎回申请。</w:t>
            </w:r>
            <w:r>
              <w:rPr>
                <w:rFonts w:ascii="方正黑体_GBK" w:hAnsi="方正黑体_GBK" w:eastAsia="方正黑体_GBK"/>
              </w:rPr>
              <w:br/>
            </w:r>
            <w:r>
              <w:rPr>
                <w:rFonts w:ascii="方正黑体_GBK" w:hAnsi="方正黑体_GBK" w:cs="宋体" w:eastAsia="方正黑体_GBK"/>
                <w:sz w:val="18"/>
                <w:szCs w:val="18"/>
              </w:rPr>
              <w:t>代销机构可根据其销售需要在管理人设定的申购/赎回时间范围内对申购/赎回时间进行重新设定，投资者通过代销机构购买本理财产品的，以该代销机构最终披露的时间为准。</w:t>
            </w:r>
          </w:p>
        </w:tc>
      </w:tr>
      <w:tr>
        <w:trPr>
          <w:trHeight w:val="28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w:t>
            </w:r>
            <w:r>
              <w:rPr>
                <w:rFonts w:ascii="方正黑体_GBK" w:eastAsia="方正黑体_GBK" w:hint="eastAsia" w:hAnsi="方正黑体_GBK"/>
                <w:caps w:val="0"/>
                <w:smallCaps w:val="0"/>
                <w:snapToGrid/>
                <w:vanish w:val="0"/>
                <w:color w:val="auto"/>
                <w:kern w:val="0"/>
                <w:sz w:val="18"/>
                <w:szCs w:val="18"/>
                <w:vertAlign w:val="baseline"/>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申购份额=确认申购金额/S。S为申购确认日理财产品单位净值（已扣除相关费用）。申购份额以去尾法保留两位小数。</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赎回金额=确认赎回份额×R。 R为赎回确认日理财产品单位净值（已扣除相关费用，赎回金额以去尾法保留两位小数）</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当理财产品单位净值不低于1时，管理人可以根据实际情况进行收益分配，分配方式为现金分红，具体分配方案以信息披露为准（分配后理财产品净值不低于1）。</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pPr>
              <w:pStyle w:val="null10"/>
              <w:spacing w:lineRule="exact" w:line="200"/>
              <w:jc w:val="left"/>
            </w:pPr>
            <w:r>
              <w:rPr>
                <w:rFonts w:ascii="方正黑体_GBK" w:hAnsi="方正黑体_GBK" w:cs="宋体" w:eastAsia="方正黑体_GBK"/>
                <w:sz w:val="18"/>
                <w:szCs w:val="18"/>
              </w:rPr>
              <w:t>分红权益登记日指管理人确认投资者所持份额是否享受本次分红的日期。</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jc w:val="left"/>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信托贷款：资产类型为信托公司设立的固定收益类信托计划，底层资产为向融资人淮安市城市发展投资控股集团有限公司发放信托贷款，资产到期日不超过理财产品最近一次开放日。融资人评级为AAA（评级机构为中证鹏元资信评估股份有限公司），融资人第一大股东为淮安市人民政府，持股比例为100%。经营范围包括：许可项目:建设工程施工;建设工程施工(除核电站建设经营、民用机场建设);建设工程质量检测;建设工程监理;建设工程勘察;建设工程设计;城市公共交通;城市建筑垃圾处置(清运);水利工程建设监理;测绘服务;房地产开发经营;旅游业务;演出经纪;住宿服务;餐饮服务(依法须经批准的项目,经相关部门批准后方可开展经营活动,具体经营项目以审批结果为准)一般项目:以私募基金从事股权投资、投资管理、资产管理等活动(须在中国证券投资基金业协会完成登记备案后方可从事经营活动);以自有资金从事投资活动;创业投资(限投资未上市企业);股权投资;城市绿化管理;城市公园管理;市政设施管理;园林绿化工程施工;规划设计管理;园区管理服务;工程造价咨询业务;私募证券投资基金管理服务(须在中国证券投资基金业协会完成登记备案后方可从事经营活动);水利相关咨询服务;旅游开发项目策划咨询;生态恢复及生态保护服务;自然生态系统保护管理;人力资源服务(不含职业中介活动、劳务派遣服务);会议及展览服务;广告设计、代理;信息技术咨询服务;企业管理咨询;物业管理(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信托贷款：资产类型为信托公司设立的固定收益类信托计划，底层资产为向融资人常州新运城市发展集团有限公司发放信托贷款，资产到期日不超过理财产品最近一次开放日。融资人评级为AA+（评级机构为中诚信国际信用评级有限责任公司），融资人第一大股东为常州市人民政府国有资产监督管理委员会，持股比例为100%。经营范围包括：许可项目:建设工程施工(依法须经批准的项目,经相关部门批准后方可开展经营活动,具体经营项目以审批结果为准)一般项目:市政设施管理;工程管理服务;土地整治服务;以自有资金从事投资活动;创业投资(限投资未上市企业);住房租赁;物业管理;五金产品零售;电子元器件批发;化工产品销售(不含许可类化工产品);日用百货销售;办公设备销售;办公设备耗材销售;针纺织品销售;服装服饰零售;服装服饰批发;建筑材料销售;金属材料销售;建筑工程用机械销售;矿山机械销售;隧道施工专用机械销售;畜牧机械销售;气体压缩机械销售;铸造机械销售;农业机械销售;农林牧渔机械配件销售;机械零件、零部件销售;橡胶制品销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3.信托贷款：资产类型为信托公司设立的固定收益类信托计划，底层资产为向融资人常州滨江产城建设发展有限公司发放信托贷款，资产到期日不超过理财产品最近一次开放日。融资人无外部评级，融资人第一大股东为常州滨江投资发展集团有限公司，持股比例为100%。经营范围包括：许可项目：建设工程施工(依法须经批准的项目，经相关部门批准后方可开展经营活动，具体经营项目以审批结果为准)一般项目：环境保护专用设备销售；新能源原动设备销售；技术服务、技术开发、技术咨询、技术交流、技术转让、技术推广；环保咨询服务；化工产品销售(不含许可类化工产品)；工程管理服务；建筑材料销售；建筑装饰材料销售；有色金属合金销售；五金产品零售；住房租赁；非居住房地产租赁；土地整治服务；以自有资金从事投资活动(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4.信托贷款：资产类型为信托公司设立的固定收益类信托计划，底层资产为向融资人江苏龙城国有控股集团有限公司发放信托贷款，资产到期日不超过理财产品最近一次开放日。融资人评级为AA+（评级机构为中诚信国际信用评级有限责任公司），融资人第一大股东为常州市人民政府，持股比例为100%。经营范围包括：许可项目:建设工程施工(依法须经批准的项目,经相关部门批准后方可开展经营活动,具体经营项目以审批结果为准)一般项目:自有资金投资的资产管理服务;市政设施管理;园林绿化工程施工;城市绿化管理;物业管理;城乡市容管理;停车场服务;建筑材料销售;租赁服务(不含许可类租赁服务);城市公园管理;森林公园管理;森林经营和管护;园区管理服务;电子产品销售;普通货物仓储服务(不含危险化学品等需许可审批的项目);土地整治服务;水环境污染防治服务;科技中介服务;自然生态系统保护管理;工程管理服务;以自有资金从事投资活动(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5.信托贷款：资产类型为信托公司设立的固定收益类信托计划，底层资产为向融资人邳州市产业投资控股集团有限公司发放信托贷款，资产到期日不超过理财产品最近一次开放日。融资人评级为AA+（评级机构为东方金诚国际信用评估有限公司），融资人第一大股东为邳州市财政局，持股比例为100%。经营范围包括：许可项目:建筑物拆除作业(爆破作业除外);发电业务、输电业务、供(配)电业务;水利工程建设监理;城市建筑垃圾处置(清运);建设工程施工;住宅室内装饰装修(依法须经批准的项目,经相关部门批准后方可开展经营活动,具体经营项目以审批结果为准)一般项目:土地整治服务;融资咨询服务;规划设计管理;市政设施管理;城市绿化管理;园区管理服务;养老服务;与农业生产经营有关的技术、信息、设施建设运营等服务;园林绿化工程施工;水污染治理;热力生产和供应(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6.信托贷款：资产类型为信托公司设立的固定收益类信托计划，底层资产为向融资人江苏苏海控股集团有限公司发放信托贷款，资产到期日不超过理财产品最近一次开放日。融资人评级为AA+（评级机构为大公国际资信评估有限公司），融资人第一大股东为连云港市赣榆区人民政府，持股比例为100%。经营范围包括：许可项目：各类工程建设活动；保税物流中心经营；道路货物运输站经营；城市配送运输服务(不含危险货物)；矿产资源(非煤矿山)开采；自来水生产与供应(依法须经批准的项目，经相关部门批准后方可开展经营活动，具体经营项目以审批结果为准) 一般项目：国内货物运输代理；国内贸易代理；销售代理；园区管理服务；工程管理服务；园林绿化工程施工；城市绿化管理；市政设施管理；公共事业管理服务；建筑材料销售；铁路运输辅助活动；热力生产和供应；普通货物仓储服务(不含危险化学品等需许可审批的项目)；污水处理及其再生利用；船舶港口服务；水污染治理；水环境污染防治服务；供暖服务；土石方工程施工；对外承包工程；水产品批发；水产品零售；非金属矿及制品销售；农副产品销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7.信托贷款：资产类型为信托公司设立的固定收益类信托计划，底层资产为向融资人嵊州市交通投资发展集团有限公司发放信托贷款，资产到期日不超过理财产品最近一次开放日。融资人评级为AA（评级机构为上海新世纪资信评估投资服务有限公司），融资人第一大股东为嵊州市投资控股有限公司，持股比例为100%。经营范围包括：许可项目:公路管理与养护;建设工程监理;建设工程设计;建设工程施工;非煤矿山矿产资源开采;港口经营;茶叶制品生产(依法须经批准的项目,经相关部门批准后方可开展经营活动,具体经营项目以审批结果为准)。一般项目:园林绿化工程施工;城市绿化管理;建筑材料销售;非金属矿及制品销售;建筑用石加工;建筑工程机械与设备租赁;运输设备租赁服务;茶叶种植;农副产品销售;高等级公路、桥梁、隧道基础设施的投资(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8.信托贷款：资产类型为信托公司设立的固定收益类信托计划，底层资产为向融资人浙江省新昌县投资发展集团有限公司发放信托贷款，资产到期日不超过理财产品最近一次开放日。融资人评级为AA+（评级机构为上海新世纪资信评估投资服务有限公司），融资人第一大股东为新昌县人民政府国有资产监督管理办公室，持股比例为100%。经营范围包括：土地开发,城市维护建设中的基础建设,旧城改造工程的开发、建设,对城市建设工程开发、建设的投资。(依法须经批准的项目,经相关部门批准后方可开展经营活动)</w:t>
            </w:r>
          </w:p>
          <w:p>
            <w:pPr>
              <w:pStyle w:val="null10"/>
              <w:spacing w:lineRule="exact" w:line="200"/>
            </w:pPr>
            <w:r>
              <w:rPr>
                <w:rFonts w:ascii="方正黑体_GBK" w:hAnsi="方正黑体_GBK" w:cs="宋体" w:eastAsia="方正黑体_GBK"/>
                <w:sz w:val="18"/>
                <w:szCs w:val="18"/>
              </w:rPr>
              <w:t>9.信托贷款：资产类型为信托公司设立的固定收益类信托计划，底层资产为向融资人杭州西湖城市建设投资集团有限公司发放信托贷款，资产到期日不超过理财产品最近一次开放日。融资人评级为AAA（评级机构为标普信用评级(中国)有限公司），融资人第一大股东为杭州西湖投资集团有限公司，持股比例为100%。经营范围包括：服务：城市基础设施建设(凭资质证经营)，代建由政府有关职能部门授权的农转居多层公寓和经济适用房；批发、零售：建筑材料；其他无需报经审批的一切合法项目。</w:t>
            </w:r>
          </w:p>
          <w:p>
            <w:pPr>
              <w:pStyle w:val="null10"/>
              <w:spacing w:lineRule="exact" w:line="200"/>
            </w:pPr>
            <w:r>
              <w:rPr>
                <w:rFonts w:ascii="方正黑体_GBK" w:hAnsi="方正黑体_GBK" w:cs="宋体" w:eastAsia="方正黑体_GBK"/>
                <w:sz w:val="18"/>
                <w:szCs w:val="18"/>
              </w:rPr>
              <w:t>10.信托贷款：资产类型为信托公司设立的固定收益类信托计划，底层资产为向融资人扬州高发产业投资发展集团有限公司发放信托贷款，资产到期日不超过理财产品最近一次开放日。融资人评级为AA+（评级机构为中证鹏元资信评估股份有限公司），融资人第一大股东为扬州高新国控集团有限公司，持股比例为100%。经营范围包括：投资咨询、投资管理、财务管理、基础设施建设、土地整理服务。(不含需前置审批项目)(依法须经批准的项目，经相关部门批准后方可开展经营活动)一般项目：电子元器件与机电组件设备销售；仪器仪表制造；木材销售；机械设备租赁；城市绿化管理；电子元器件与机电组件设备制造(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11.信托贷款：资产类型为信托公司设立的固定收益类信托计划，底层资产为向融资人江苏开晟产业发展集团有限公司发放信托贷款，资产到期日不超过理财产品最近一次开放日。融资人评级为AA+（评级机构为联合资信评估股份有限公司），融资人第一大股东为海安经济技术开发区管理委员会，持股比例为100%。经营范围包括：许可项目:建设工程施工;房地产开发经营(依法须经批准的项目,经相关部门批准后方可开展经营活动,具体经营项目以审批结果为准)一般项目:土地整治服务;物业管理;企业管理;土地使用权租赁;非居住房地产租赁;住房租赁(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12.信托贷款：资产类型为信托公司设立的固定收益类信托计划，底层资产为向融资人扬州江淮建设发展有限公司发放信托贷款，资产到期日不超过理财产品最近一次开放日。融资人评级为AA+（评级机构为中证鹏元资信评估股份有限公司），融资人第一大股东为扬州市国联控股集团有限公司，持股比例为100%。经营范围包括：城镇化建设投资,旅游景区项目投资、开发,历史文化街区整合及开发,文化艺术交流服务,会展服务,商务信息咨询,对城中村改造项目、棚户区改造项目、农村基础设施项目及农业项目的投资。(依法须经批准的项目,经相关部门批准后方可开展经营活动)一般项目:建筑材料销售;林业产品销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13.信托贷款：资产类型为信托公司设立的固定收益类信托计划，底层资产为向融资人泰州市华融城镇建设有限公司发放信托贷款，资产到期日不超过理财产品最近一次开放日。融资人无外部评级，融资人第一大股东为江苏创鸿资产管理有限公司，持股比例为100%。经营范围包括：许可项目：建设工程施工；水产苗种生产(依法须经批准的项目，经相关部门批准后方可开展经营活动，具体经营项目以审批结果为准) 一般项目：建筑装饰材料销售；金属材料销售；农业园艺服务；城市绿化管理；园林绿化工程施工；工程管理服务；农村生活垃圾经营性服务；物业管理；以自有资金从事投资活动；创业投资(限投资未上市企业)；自有资金投资的资产管理服务；树木种植经营；农业科学研究和试验发展；水果种植；新鲜水果零售；花卉种植；蔬菜种植；新鲜蔬菜零售；礼品花卉销售；中草药种植；建筑材料销售；中草药收购；水产品零售；谷物种植；谷物销售；食用农产品批发；食用农产品零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14.信托贷款：资产类型为信托公司设立的固定收益类信托计划，底层资产为向融资人泰州国控投资集团有限公司发放信托贷款，资产到期日不超过理财产品最近一次开放日。融资人评级为AAA（评级机构为中诚信国际信用评级有限责任公司），融资人第一大股东为泰州市政府国有资产监督管理委员会，持股比例为100%。经营范围包括：许可项目:房地产开发经营;城市生活垃圾经营性服务;非银行金融业务;金融资产管理服务;发电业务、输电业务、供(配)电业务;输电、供电、受电电力设施的安装、维修和试验;城市建筑垃圾处置(清运)(依法须经批准的项目,经相关部门批准后方可开展经营活动,具体经营项目以审批结果为准)一般项目:机动车充电销售;停车场服务;储能技术服务;集中式快速充电站;电动汽车充电基础设施运营;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养老服务(社区养老服务);养老服务(居家养老服务);养老服务(机构养老服务);从事国际集装箱船、普通货船运输;船舶港口服务;集装箱租赁服务;煤炭及制品销售;石油制品销售(不含危险化学品);有色金属合金销售;金属矿石销售;城乡市容管理;生态恢复及生态保护服务;土壤污染治理与修复服务;大气环境污染防治服务;建筑材料销售;机械设备租赁(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15.信托贷款：资产类型为信托公司设立的固定收益类信托计划，底层资产为向融资人泰州市城市建设投资控股有限公司发放信托贷款，资产到期日不超过理财产品最近一次开放日。融资人评级为AA+（评级机构为上海新世纪资信评估投资服务有限公司），融资人第一大股东为泰州市城市建设投资集团有限公司，持股比例为100%。经营范围包括：许可项目:建设工程施工;餐饮服务;烟草制品零售;出版物零售;食品销售(依法须经批准的项目,经相关部门批准后方可开展经营活动,具体经营项目以审批结果为准)一般项目:以自有资金从事投资活动;股权投资;物业管理;商业综合体管理服务;建筑材料销售;住房租赁;非居住房地产租赁;机械设备租赁;新鲜水果零售;打字复印;润滑油销售;石油制品销售(不含危险化学品);化工产品销售(不含许可类化工产品);煤炭及制品销售(禁燃区内不得含有原煤、散煤、煤矸石、煤泥、煤粉、水煤浆、型煤、焦炭、兰炭等)(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16.信托贷款：资产类型为信托公司设立的固定收益类信托计划，底层资产为向融资人靖江市欣城建设发展有限公司发放信托贷款，资产到期日不超过理财产品最近一次开放日。融资人无外部评级，融资人第一大股东为靖江市人民政府国有资产监督管理办公室，持股比例为90%。经营范围包括：城市基础设施投资建设；老居民区改造建设；棚户区改造建设；城中村改造建设；房屋工程建筑、市政工程、道路工程施工；土地整理；建材、金属材料、苗木销售。(依法须经批准的项目，经相关部门批准后方可开展经营活动)</w:t>
            </w:r>
          </w:p>
          <w:p>
            <w:pPr>
              <w:pStyle w:val="null10"/>
              <w:spacing w:lineRule="exact" w:line="200"/>
            </w:pPr>
            <w:r>
              <w:rPr>
                <w:rFonts w:ascii="方正黑体_GBK" w:hAnsi="方正黑体_GBK" w:cs="宋体" w:eastAsia="方正黑体_GBK"/>
                <w:sz w:val="18"/>
                <w:szCs w:val="18"/>
              </w:rPr>
              <w:t>17.信托贷款：资产类型为信托公司设立的固定收益类信托计划，底层资产为向融资人盐城市大纵湖湖区资源开发有限公司发放信托贷款，资产到期日不超过理财产品最近一次开放日。融资人评级为AA（评级机构为中证鹏元资信评估股份有限公司），融资人第一大股东为盐城市城镇化建设投资集团有限公司，持股比例为100%。经营范围包括：大纵湖湖区资源开发、利用，旅游资源开发、经营管理、景区管理服务，酒店管理服务，湖区供水、污水管网建设、维护，实业投资，投资项目管理，湖区养殖业的推广，基础设施开发、建设，政府授权的国有资产的经营与管理，土地开发经营，物业管理，房屋拆除，市政公用工程、建筑装修装饰工程、园林绿化工程设计、施工，城市及道路照明工程、水利水电工程、土石方工程施工，水电安装（除供受电设施），空调安装，土地整理，市政设施管理、维护，畜禽粪污收集处理，谷物种植及技术推广，不再分装的农作物包装种子零售，建筑材料、钢材销售，农产品（除种子）、花卉、树木、草皮、种植、销售。（依法须经批准的项目，经相关部门批准后方可开展经营活动）许可项目：水产养殖；餐饮服务；草种生产经营；食品销售；住宿服务；酒吧服务（不含演艺娱乐活动）；营业性演出；演出经纪；歌舞娱乐活动；水路普通货物运输；道路旅客运输经营；洗浴服务；生活美容服务；烟草制品零售（依法须经批准的项目，经相关部门批准后方可开展经营活动，具体经营项目以审批结果为准）一般项目：游览景区管理；玩具、动漫及游艺用品销售；日用品销售；餐饮管理；企业管理；物业管理；生态保护区管理服务；停车场服务；花卉种植；园艺产品种植；广告设计、代理；广告制作；票务代理服务；市场营销策划；企业形象策划；项目策划与公关服务；体育赛事策划；组织文化艺术交流活动；会议及展览服务；教育咨询服务（不含涉许可审批的教育培训活动）；以自有资金从事投资活动；旅游开发项目策划咨询；园区管理服务；游乐园服务；船舶租赁；工艺美术品及收藏品零售（象牙及其制品除外）；非居住房地产租赁；组织体育表演活动；体育竞赛组织；棋牌室服务；工艺美术品及收藏品批发（象牙及其制品除外）；健身休闲活动；体育健康服务；洗染服务；家政服务；体育场地设施经营（不含高危险性体育运动）；工艺美术品及礼仪用品销售（象牙及其制品除外）；纺织、服装及家庭用品批发；服装服饰零售；农副产品销售；食品销售（仅销售预包装食品）；小微型客车租赁经营服务（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18.信托贷款：资产类型为信托公司设立的固定收益类信托计划，底层资产为向融资人盐城高新区投资集团有限公司发放信托贷款，资产到期日不超过理财产品最近一次开放日。融资人评级为AA+（评级机构为中诚信国际信用评级有限责任公司），融资人第一大股东为盐城高新产业控股集团有限公司，持股比例为100%。经营范围包括：授权范围内的国有资产经营管理;高新技术产业投资和运营;园区基础配套设施及市政公用设施投资、建设、运营;土地开发经营;房屋租赁;物业管理;建筑材料、电子产品批发、零售。(依法须经批准的项目,经相关部门批准后方可开展经营活动)许可项目:建设工程施工;建设工程设计(依法须经批准的项目,经相关部门批准后方可开展经营活动,具体经营项目以审批结果为准)一般项目:城市绿化管理;树木种植经营;工程管理服务;林业产品销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19.信托贷款：资产类型为信托公司设立的固定收益类信托计划，底层资产为向融资人阜宁县城发控股集团有限公司发放信托贷款，资产到期日不超过理财产品最近一次开放日。融资人评级为AA+（评级机构为大公国际资信评估有限公司），融资人第一大股东为阜宁县人民政府国有资产监督管理办公室，持股比例为100%。经营范围包括：许可项目:建设工程施工;建设工程监理;第三类医疗器械经营(依法须经批准的项目,经相关部门批准后方可开展经营活动,具体经营项目以审批结果为准)一般项目:非居住房地产租赁;礼品花卉销售;树木种植经营;建筑材料销售;第一类医疗器械销售;第二类医疗器械销售;水果种植;市政设施管理;土地整治服务;以自有资金从事投资活动(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20.信托贷款：资产类型为信托公司设立的固定收益类信托计划，底层资产为向融资人盐城市盐州实业有限公司发放信托贷款，资产到期日不超过理财产品最近一次开放日。融资人无外部评级，融资人第一大股东为盐城盛州集团有限公司，持股比例为100%。经营范围包括：电、水、卫、暖安装，工业技术创新，仓储服务，针纺织品制造，电子产品、橡胶制品、钢材、木材、针纺织品、五金、电器批发零售，经营授权范围内的国有资产，基础设施投资、建设管理，自有房屋租赁。(依法须经批准的项目，经相关部门批准后方可开展经营活动)</w:t>
            </w:r>
          </w:p>
          <w:p>
            <w:pPr>
              <w:pStyle w:val="null10"/>
              <w:spacing w:lineRule="exact" w:line="200"/>
            </w:pPr>
            <w:r>
              <w:rPr>
                <w:rFonts w:ascii="方正黑体_GBK" w:hAnsi="方正黑体_GBK" w:cs="宋体" w:eastAsia="方正黑体_GBK"/>
                <w:sz w:val="18"/>
                <w:szCs w:val="18"/>
              </w:rPr>
              <w:t>21.信托贷款：资产类型为信托公司设立的固定收益类信托计划，底层资产为向融资人盐城市水务集团有限公司发放信托贷款，资产到期日不超过理财产品最近一次开放日。融资人无外部评级，融资人第一大股东为盐城市市政公用投资有限公司，持股比例为100%。经营范围包括：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现制现售饮用水(依法须经批准的项目，经相关部门批准后方可开展经营活动，具体经营项目以审批结果为准)</w:t>
            </w:r>
          </w:p>
          <w:p>
            <w:pPr>
              <w:pStyle w:val="null10"/>
              <w:spacing w:lineRule="exact" w:line="200"/>
            </w:pPr>
            <w:r>
              <w:rPr>
                <w:rFonts w:ascii="方正黑体_GBK" w:hAnsi="方正黑体_GBK" w:cs="宋体" w:eastAsia="方正黑体_GBK"/>
                <w:sz w:val="18"/>
                <w:szCs w:val="18"/>
              </w:rPr>
              <w:t>22.信托贷款：资产类型为信托公司设立的固定收益类信托计划，底层资产为向融资人盐城经开城建投资集团有限公司发放信托贷款，资产到期日不超过理财产品最近一次开放日。融资人无外部评级，融资人第一大股东为盐城经济技术开发区管理委员会，持股比例为100%。经营范围包括：经政府授权范围内的土地整理和开发；保障性住房开发经营；城乡基础设施建设、维护；公益性基础设施建设；危旧房改造项目开发建设；房地产开发经营；资产管理。(依法须经批准的项目，经相关部门批准后方可开展经营活动)一般项目：以自有资金从事投资活动；金属材料销售；建筑材料销售；市政设施管理(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23.信托贷款：资产类型为信托公司设立的固定收益类信托计划，底层资产为向融资人盐城盛州投资控股集团有限公司发放信托贷款，资产到期日不超过理财产品最近一次开放日。融资人无外部评级，融资人第一大股东为盐城市盐都区政府国有资产监督管理办公室，持股比例为100%。经营范围包括：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24.信托贷款：资产类型为信托公司设立的固定收益类信托计划，底层资产为向融资人泰州医药城控股集团有限公司发放信托贷款，资产到期日不超过理财产品最近一次开放日。融资人评级为AA+（评级机构为中证鹏元资信评估股份有限公司），融资人第一大股东为泰州医药高新技术产业开发区管理委员会，持股比例为100%。经营范围包括：一般项目:单位后勤管理服务;租赁服务(不含许可类租赁服务);教学专用仪器销售;第一类医疗器械销售;工程管理服务;日用百货销售;住房租赁;技术服务、技术开发、技术咨询、技术交流、技术转让、技术推广;金属材料销售;金属结构销售;建筑用金属配件销售;建筑用钢筋产品销售;有色金属合金销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25.信托贷款：资产类型为信托公司设立的固定收益类信托计划，底层资产为向融资人靖江市城市建设投资发展(集团)有限公司发放信托贷款，资产到期日不超过理财产品最近一次开放日。融资人评级为AA+（评级机构为中证鹏元资信评估股份有限公司），融资人第一大股东为靖江市人民政府国有资产监督管理办公室，持股比例为100%。经营范围包括：许可项目：住宅室内装饰装修；建设工程质量检测；建设工程施工；建设工程勘察；建设工程设计；房地产开发经营；城市生活垃圾经营性服务；建筑物拆除作业(爆破作业除外)；道路货物运输(不含危险货物)；水产养殖；发电业务、输电业务、供(配)电业务；供电业务；输电、供电、受电电力设施的安装、维修和试验；网络文化经营；互联网直播技术服务(依法须经批准的项目，经相关部门批准后方可开展经营活动，具体经营项目以审批结果为准)一般项目：对外承包工程；工程造价咨询业务；物业管理；信息咨询服务(不含许可类信息咨询服务)；以自有资金从事投资活动；城市绿化管理；工程管理服务；工程和技术研究和试验发展；园林绿化工程施工；房屋拆迁服务；住房租赁；非居住房地产租赁；金属结构销售；市政设施管理；建筑砌块制造；土地调查评估服务；建筑材料销售；金属制品销售；环境卫生公共设施安装服务；农业专业及辅助性活动；土地整治服务；树木种植经营；生态恢复及生态保护服务；休闲观光活动；光伏设备及元器件销售；光伏发电设备租赁；太阳能发电技术服务；太阳能热利用产品销售；太阳能热发电产品销售；太阳能热利用装备销售；太阳能热发电装备销售；养老服务；谷物种植；谷物销售；蔬菜种植；新鲜蔬菜批发；新鲜蔬菜零售；水果种植；新鲜水果批发；新鲜水果零售；粮食收购；花卉种植；礼品花卉销售；食用农产品初加工；食用农产品批发；食用农产品零售；粮油仓储服务；农作物栽培服务；科技推广和应用服务；农村民间工艺及制品、休闲农业和乡村旅游资源的开发经营；市场营销策划；组织文化艺术交流活动；会议及展览服务；广告制作；广告发布；广告设计、代理；农林牧渔业废弃物综合利用；城乡市容管理；园区管理服务；农村生活垃圾经营性服务；土石方工程施工；煤炭及制品销售；货物进出口；进出口代理；充电桩销售；充电控制设备租赁；集中式快速充电站；停车场服务；电动汽车充电基础设施运营；总质量4.5吨及以下普通货运车辆道路货物运输(除网络货运和危险货物)；互联网数据服务；物联网应用服务；人工智能公共服务平台技术咨询服务；人工智能基础资源与技术平台；信息系统集成服务；技术服务、技术开发、技术咨询、技术交流、技术转让、技术推广；软件开发；电子产品销售；通用设备修理；专用设备修理；电气设备修理；计算机软硬件及辅助设备批发；计算机软硬件及辅助设备零售；信息技术咨询服务；网络技术服务；物联网技术服务；云计算装备技术服务；5G通信技术服务；技术推广服务；家用电器销售；机械设备销售；智能基础制造装备制造；智能基础制造装备销售；人工智能基础软件开发；人工智能理论与算法软件开发；人工智能应用软件开发；人工智能公共数据平台；人工智能通用应用系统；智能控制系统集成；智能仪器仪表制造；智能仪器仪表销售；机械设备租赁；储能技术服务；租赁服务(不含许可类租赁服务)；合同能源管理；热力生产和供应(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26.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27.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28.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29.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30.资产支持计划：资产类型为保险资产管理公司设立的资产支持计划，底层资产为抖音及信托公司双重审核、信托公司自主风控后发放的“放心借”贷款资产，资产到期日不超过理财产品最近一次开放日，仅投资优先级。</w:t>
            </w:r>
          </w:p>
          <w:p>
            <w:pPr>
              <w:pStyle w:val="null10"/>
              <w:spacing w:lineRule="exact" w:line="200"/>
            </w:pPr>
            <w:r>
              <w:rPr>
                <w:rFonts w:ascii="方正黑体_GBK" w:hAnsi="方正黑体_GBK" w:cs="宋体" w:eastAsia="方正黑体_GBK"/>
                <w:sz w:val="18"/>
                <w:szCs w:val="18"/>
              </w:rPr>
              <w:t>31.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32.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33.信托贷款：资产类型为信托公司设立的资金信托计划，底层资产为京东及信托公司双重审核、信托公司自主风控后发放的“白条”个人消费贷款债权，资产到期日不超过理财产品最近一次开放日。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34.信托贷款：资产类型为信托公司设立的资金信托计划，底层资产为京东及信托公司双重审核、信托公司自主风控后发放的“金条”个人消费贷款债权，资产到期日不超过理财产品最近一次开放日。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35.信托贷款：资产类型为信托公司设立的资金信托计划，底层资产为京东及信托公司双重审核、信托公司自主风控后发放的“白条取现”个人消费贷款债权，资产到期日不超过理财产品最近一次开放日。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36.信托贷款：资产类型为信托公司设立的资金信托计划，底层资产为抖音及信托公司双重审核、信托公司自主风控后发放的“月付”个人消费贷款债权，资产到期日不超过理财产品最近一次开放日。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37.信托贷款：资产类型为信托公司设立的资金信托计划，底层资产为抖音及信托公司双重审核、信托公司自主风控后发放的“放心借”贷款资产，资产到期日不超过理财产品最近一次开放日。</w:t>
            </w:r>
          </w:p>
          <w:p>
            <w:pPr>
              <w:pStyle w:val="null10"/>
              <w:spacing w:lineRule="exact" w:line="200"/>
            </w:pPr>
            <w:r>
              <w:rPr>
                <w:rFonts w:ascii="方正黑体_GBK" w:hAnsi="方正黑体_GBK" w:cs="宋体" w:eastAsia="方正黑体_GBK"/>
                <w:sz w:val="18"/>
                <w:szCs w:val="18"/>
              </w:rPr>
              <w:t>38.信托贷款：资产类型为信托公司设立的资金信托计划，底层资产为蚂蚁及信托公司双重审核、信托公司自主风控后发放的“花呗”个人消费贷款债权，资产到期日不超过理财产品最近一次开放日。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39.信托贷款：资产类型为信托公司设立的资金信托计划，底层资产为蚂蚁及信托公司双重审核、信托公司自主风控后发放的“借呗”个人消费贷款债权，资产到期日不超过理财产品最近一次开放日。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40.信托贷款：资产类型为信托公司设立的资金信托计划，底层资产为微信及信托公司双重审核、信托公司自主风控后发放的“分付”个人消费贷款债权，资产到期日不超过理财产品最近一次开放日。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41.信托贷款：资产类型为信托公司设立的资金信托计划，底层资产为度小满及信托公司双重审核、信托公司自主风控后发放的“满易贷”个人消费贷款债权，资产到期日不超过理财产品最近一次开放日。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42.券商收益凭证：资产类型为证券公司发行的收益凭证，资产到期日不超过理财产品最近一次开放日，融资人为华宝证券股份有限公司，融资人评级为AA+（评级机构为联合资信评估股份有限公司）。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43.券商收益凭证：资产类型为证券公司发行的收益凭证，资产到期日不超过理财产品最近一次开放日，融资人为上海证券有限责任公司，融资人评级为AAA（评级机构为上海新世纪资信评估投资服务有限公司）。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44.券商收益凭证：资产类型为证券公司发行的收益凭证，资产到期日不超过理财产品最近一次开放日，融资人为山西证券股份有限公司，融资人评级为AAA（评级机构为中诚信国际信用评级有限责任公司）。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45.券商收益凭证：资产类型为证券公司发行的收益凭证，资产到期日不超过理财产品最近一次开放日，融资人为中银国际证券股份有限公司，融资人评级为AAA（评级机构为中诚信国际信用评级有限责任公司）。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46.券商收益凭证：资产类型为证券公司发行的收益凭证，资产到期日不超过理财产品最近一次开放日，融资人为首创证券股份有限公司，融资人评级为AAA（评级机构为中诚信国际信用评级有限责任公司）。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47.同业借款：资产类型为南银理财有限责任公司向持牌金融机构发放的同业借款，资产到期日不超过理财产品最近一次开放日，融资人为中国中信金融资产管理股份有限公司。</w:t>
            </w:r>
          </w:p>
          <w:p>
            <w:pPr>
              <w:pStyle w:val="null10"/>
              <w:spacing w:lineRule="exact" w:line="200"/>
            </w:pPr>
            <w:r>
              <w:rPr>
                <w:rFonts w:ascii="方正黑体_GBK" w:hAnsi="方正黑体_GBK" w:cs="宋体" w:eastAsia="方正黑体_GBK"/>
                <w:sz w:val="18"/>
                <w:szCs w:val="18"/>
              </w:rPr>
              <w:t>48.同业借款：资产类型为南银理财有限责任公司向持牌金融机构发放的同业借款，资产到期日不超过理财产品最近一次开放日，融资人为中国东方资产管理股份有限公司。</w:t>
            </w:r>
          </w:p>
          <w:p>
            <w:pPr>
              <w:pStyle w:val="null10"/>
              <w:spacing w:lineRule="exact" w:line="200"/>
            </w:pPr>
            <w:r>
              <w:rPr>
                <w:rFonts w:ascii="方正黑体_GBK" w:hAnsi="方正黑体_GBK" w:cs="宋体" w:eastAsia="方正黑体_GBK"/>
                <w:sz w:val="18"/>
                <w:szCs w:val="18"/>
              </w:rPr>
              <w:t>49.同业借款：资产类型为南银理财有限责任公司向持牌金融机构发放的同业借款，资产到期日不超过理财产品最近一次开放日，融资人为中国信达资产管理股份有限公司。</w:t>
            </w:r>
          </w:p>
          <w:p>
            <w:pPr>
              <w:pStyle w:val="null10"/>
              <w:spacing w:lineRule="exact" w:line="200"/>
            </w:pPr>
            <w:r>
              <w:rPr>
                <w:rFonts w:ascii="方正黑体_GBK" w:hAnsi="方正黑体_GBK" w:cs="宋体" w:eastAsia="方正黑体_GBK"/>
                <w:sz w:val="18"/>
                <w:szCs w:val="18"/>
              </w:rPr>
              <w:t>50.同业借款：资产类型为南银理财有限责任公司向持牌金融机构发放的同业借款，资产到期日不超过理财产品最近一次开放日，融资人为中国长城资产管理股份有限公司。</w:t>
            </w:r>
          </w:p>
          <w:p>
            <w:pPr>
              <w:pStyle w:val="null10"/>
              <w:spacing w:lineRule="exact" w:line="200"/>
            </w:pPr>
            <w:r>
              <w:rPr>
                <w:rFonts w:ascii="方正黑体_GBK" w:hAnsi="方正黑体_GBK" w:cs="宋体" w:eastAsia="方正黑体_GBK"/>
                <w:sz w:val="18"/>
                <w:b/>
                <w:szCs w:val="18"/>
              </w:rPr>
              <w:t>以上资产剩余期限均不超过产品期限。</w:t>
            </w:r>
            <w:r>
              <w:rPr>
                <w:rFonts w:ascii="方正黑体_GBK" w:hAnsi="方正黑体_GBK" w:eastAsia="方正黑体_GBK"/>
              </w:rPr>
              <w:br/>
            </w:r>
            <w:r>
              <w:rPr>
                <w:rFonts w:ascii="方正黑体_GBK" w:hAnsi="方正黑体_GBK" w:cs="宋体" w:eastAsia="方正黑体_GBK"/>
                <w:sz w:val="18"/>
                <w:b/>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A份额：业绩比较基准为年化2.7%-3% 。</w:t>
            </w:r>
          </w:p>
          <w:p>
            <w:pPr>
              <w:pStyle w:val="null10"/>
              <w:spacing w:lineRule="exact" w:line="200"/>
            </w:pPr>
            <w:r>
              <w:rPr>
                <w:rFonts w:ascii="方正黑体_GBK" w:hAnsi="方正黑体_GBK" w:cs="宋体" w:eastAsia="方正黑体_GBK"/>
                <w:sz w:val="18"/>
                <w:szCs w:val="18"/>
              </w:rPr>
              <w:t>B份额：业绩比较基准为年化2.7%-3% 。</w:t>
            </w:r>
          </w:p>
          <w:p>
            <w:pPr>
              <w:pStyle w:val="null10"/>
              <w:spacing w:lineRule="exact" w:line="200"/>
            </w:pPr>
            <w:r>
              <w:rPr>
                <w:rFonts w:ascii="方正黑体_GBK" w:hAnsi="方正黑体_GBK" w:cs="宋体" w:eastAsia="方正黑体_GBK"/>
                <w:sz w:val="18"/>
                <w:szCs w:val="18"/>
              </w:rPr>
              <w:t>C份额：业绩比较基准为年化2.8%-3.1% 。</w:t>
            </w:r>
          </w:p>
          <w:p>
            <w:pPr>
              <w:pStyle w:val="null10"/>
              <w:spacing w:lineRule="exact" w:line="200"/>
            </w:pPr>
            <w:r>
              <w:rPr>
                <w:rFonts w:ascii="方正黑体_GBK" w:hAnsi="方正黑体_GBK" w:cs="宋体" w:eastAsia="方正黑体_GBK"/>
                <w:sz w:val="18"/>
                <w:szCs w:val="18"/>
              </w:rPr>
              <w:t>D份额：业绩比较基准为年化2.85%-3.15% 。</w:t>
            </w:r>
          </w:p>
          <w:p>
            <w:pPr>
              <w:pStyle w:val="null10"/>
              <w:spacing w:lineRule="exact" w:line="200"/>
            </w:pPr>
            <w:r>
              <w:rPr>
                <w:rFonts w:ascii="方正黑体_GBK" w:hAnsi="方正黑体_GBK" w:cs="宋体" w:eastAsia="方正黑体_GBK"/>
                <w:sz w:val="18"/>
                <w:szCs w:val="18"/>
              </w:rPr>
              <w:t>E份额：业绩比较基准为年化2.95%-3.25% 。</w:t>
            </w:r>
          </w:p>
          <w:p>
            <w:pPr>
              <w:pStyle w:val="null10"/>
              <w:spacing w:lineRule="exact" w:line="200"/>
            </w:pPr>
            <w:r>
              <w:rPr>
                <w:rFonts w:ascii="方正黑体_GBK" w:hAnsi="方正黑体_GBK" w:cs="宋体" w:eastAsia="方正黑体_GBK"/>
                <w:sz w:val="18"/>
                <w:szCs w:val="18"/>
              </w:rPr>
              <w:t>F份额：业绩比较基准为年化2.8%-3.1% 。</w:t>
            </w:r>
          </w:p>
          <w:p>
            <w:pPr>
              <w:pStyle w:val="null10"/>
              <w:spacing w:lineRule="exact" w:line="200"/>
            </w:pPr>
            <w:r>
              <w:rPr>
                <w:rFonts w:ascii="方正黑体_GBK" w:hAnsi="方正黑体_GBK" w:cs="宋体" w:eastAsia="方正黑体_GBK"/>
                <w:sz w:val="18"/>
                <w:szCs w:val="18"/>
              </w:rPr>
              <w:t>G份额：业绩比较基准为年化2.9%-3.2% 。</w:t>
            </w:r>
          </w:p>
          <w:p>
            <w:pPr>
              <w:pStyle w:val="null10"/>
              <w:spacing w:lineRule="exact" w:line="200"/>
            </w:pPr>
            <w:r>
              <w:rPr>
                <w:rFonts w:ascii="方正黑体_GBK" w:hAnsi="方正黑体_GBK" w:cs="宋体" w:eastAsia="方正黑体_GBK"/>
                <w:sz w:val="18"/>
                <w:szCs w:val="18"/>
              </w:rPr>
              <w:t>I份额：业绩比较基准为年化3.05%-3.35% 。</w:t>
            </w:r>
          </w:p>
          <w:p>
            <w:pPr>
              <w:pStyle w:val="null10"/>
              <w:spacing w:lineRule="exact" w:line="200"/>
            </w:pPr>
            <w:r>
              <w:rPr>
                <w:rFonts w:ascii="方正黑体_GBK" w:hAnsi="方正黑体_GBK" w:cs="宋体" w:eastAsia="方正黑体_GBK"/>
                <w:sz w:val="18"/>
                <w:szCs w:val="18"/>
              </w:rPr>
              <w:t>J份额：业绩比较基准为年化2.7%-3% 。</w:t>
            </w:r>
          </w:p>
          <w:p>
            <w:pPr>
              <w:pStyle w:val="null10"/>
              <w:spacing w:lineRule="exact" w:line="200"/>
            </w:pPr>
            <w:r>
              <w:rPr>
                <w:rFonts w:ascii="方正黑体_GBK" w:hAnsi="方正黑体_GBK" w:cs="宋体" w:eastAsia="方正黑体_GBK"/>
                <w:sz w:val="18"/>
                <w:szCs w:val="18"/>
              </w:rPr>
              <w:t>K份额：业绩比较基准为年化2.7%-3% 。</w:t>
            </w:r>
          </w:p>
          <w:p>
            <w:pPr>
              <w:pStyle w:val="null10"/>
              <w:spacing w:lineRule="exact" w:line="200"/>
            </w:pPr>
            <w:r>
              <w:rPr>
                <w:rFonts w:ascii="方正黑体_GBK" w:hAnsi="方正黑体_GBK" w:cs="宋体" w:eastAsia="方正黑体_GBK"/>
                <w:sz w:val="18"/>
                <w:szCs w:val="18"/>
              </w:rPr>
              <w:t>M份额：业绩比较基准为年化2.7%-3% 。</w:t>
            </w:r>
          </w:p>
          <w:p>
            <w:pPr>
              <w:pStyle w:val="null10"/>
              <w:spacing w:lineRule="exact" w:line="200"/>
            </w:pPr>
            <w:r>
              <w:rPr>
                <w:rFonts w:ascii="方正黑体_GBK" w:hAnsi="方正黑体_GBK" w:cs="宋体" w:eastAsia="方正黑体_GBK"/>
                <w:sz w:val="18"/>
                <w:szCs w:val="18"/>
              </w:rPr>
              <w:t>N份额：业绩比较基准为年化3%-3.3% 。</w:t>
            </w:r>
          </w:p>
          <w:p>
            <w:pPr>
              <w:pStyle w:val="null10"/>
              <w:spacing w:lineRule="exact" w:line="200"/>
            </w:pPr>
            <w:r>
              <w:rPr>
                <w:rFonts w:ascii="方正黑体_GBK" w:hAnsi="方正黑体_GBK" w:cs="宋体" w:eastAsia="方正黑体_GBK"/>
                <w:sz w:val="18"/>
                <w:szCs w:val="18"/>
              </w:rPr>
              <w:t>O份额：业绩比较基准为年化2.85%-3.15% 。</w:t>
            </w:r>
          </w:p>
          <w:p>
            <w:pPr>
              <w:pStyle w:val="null10"/>
              <w:spacing w:lineRule="exact" w:line="200"/>
            </w:pPr>
            <w:r>
              <w:rPr>
                <w:rFonts w:ascii="方正黑体_GBK" w:hAnsi="方正黑体_GBK" w:cs="宋体" w:eastAsia="方正黑体_GBK"/>
                <w:sz w:val="18"/>
                <w:szCs w:val="18"/>
              </w:rPr>
              <w:t>P份额：业绩比较基准为年化2.9%-3.2% 。</w:t>
            </w:r>
          </w:p>
          <w:p>
            <w:pPr>
              <w:pStyle w:val="null10"/>
              <w:spacing w:lineRule="exact" w:line="200"/>
            </w:pPr>
            <w:r>
              <w:rPr>
                <w:rFonts w:ascii="方正黑体_GBK" w:hAnsi="方正黑体_GBK" w:cs="宋体" w:eastAsia="方正黑体_GBK"/>
                <w:sz w:val="18"/>
                <w:szCs w:val="18"/>
              </w:rPr>
              <w:t>A2份额：业绩比较基准为年化2.7%-3% 。</w:t>
            </w:r>
          </w:p>
          <w:p>
            <w:pPr>
              <w:pStyle w:val="null10"/>
              <w:spacing w:lineRule="exact" w:line="200"/>
            </w:pPr>
            <w:r>
              <w:rPr>
                <w:rFonts w:ascii="方正黑体_GBK" w:hAnsi="方正黑体_GBK" w:cs="宋体" w:eastAsia="方正黑体_GBK"/>
                <w:sz w:val="18"/>
                <w:szCs w:val="18"/>
              </w:rPr>
              <w:t>B2份额：业绩比较基准为年化2.7%-3% 。</w:t>
            </w:r>
          </w:p>
          <w:p>
            <w:pPr>
              <w:pStyle w:val="null10"/>
              <w:spacing w:lineRule="exact" w:line="200"/>
            </w:pPr>
            <w:r>
              <w:rPr>
                <w:rFonts w:ascii="方正黑体_GBK" w:hAnsi="方正黑体_GBK" w:cs="宋体" w:eastAsia="方正黑体_GBK"/>
                <w:sz w:val="18"/>
                <w:szCs w:val="18"/>
              </w:rPr>
              <w:t>C2份额：业绩比较基准为年化2.8%-3.1% 。</w:t>
            </w:r>
          </w:p>
          <w:p>
            <w:pPr>
              <w:pStyle w:val="null10"/>
              <w:spacing w:lineRule="exact" w:line="200"/>
            </w:pPr>
            <w:r>
              <w:rPr>
                <w:rFonts w:ascii="方正黑体_GBK" w:hAnsi="方正黑体_GBK" w:cs="宋体" w:eastAsia="方正黑体_GBK"/>
                <w:sz w:val="18"/>
                <w:szCs w:val="18"/>
              </w:rPr>
              <w:t>D2份额：业绩比较基准为年化2.85%-3.15% 。</w:t>
            </w:r>
          </w:p>
          <w:p>
            <w:pPr>
              <w:pStyle w:val="null10"/>
              <w:spacing w:lineRule="exact" w:line="200"/>
            </w:pPr>
            <w:r>
              <w:rPr>
                <w:rFonts w:ascii="方正黑体_GBK" w:hAnsi="方正黑体_GBK" w:cs="宋体" w:eastAsia="方正黑体_GBK"/>
                <w:sz w:val="18"/>
                <w:szCs w:val="18"/>
              </w:rPr>
              <w:t>E2份额：业绩比较基准为年化2.95%-3.25% 。</w:t>
            </w:r>
          </w:p>
          <w:p>
            <w:pPr>
              <w:pStyle w:val="null10"/>
              <w:spacing w:lineRule="exact" w:line="200"/>
            </w:pPr>
            <w:r>
              <w:rPr>
                <w:rFonts w:ascii="方正黑体_GBK" w:hAnsi="方正黑体_GBK" w:cs="宋体" w:eastAsia="方正黑体_GBK"/>
                <w:sz w:val="18"/>
                <w:szCs w:val="18"/>
              </w:rPr>
              <w:t>A3份额：业绩比较基准为年化2.7%-3% 。</w:t>
            </w:r>
          </w:p>
          <w:p>
            <w:pPr>
              <w:pStyle w:val="null10"/>
              <w:spacing w:lineRule="exact" w:line="200"/>
            </w:pPr>
            <w:r>
              <w:rPr>
                <w:rFonts w:ascii="方正黑体_GBK" w:hAnsi="方正黑体_GBK" w:cs="宋体" w:eastAsia="方正黑体_GBK"/>
                <w:sz w:val="18"/>
                <w:szCs w:val="18"/>
              </w:rPr>
              <w:t>B3份额：业绩比较基准为年化2.7%-3% 。</w:t>
            </w:r>
          </w:p>
          <w:p>
            <w:pPr>
              <w:pStyle w:val="null10"/>
              <w:spacing w:lineRule="exact" w:line="200"/>
            </w:pPr>
            <w:r>
              <w:rPr>
                <w:rFonts w:ascii="方正黑体_GBK" w:hAnsi="方正黑体_GBK" w:cs="宋体" w:eastAsia="方正黑体_GBK"/>
                <w:sz w:val="18"/>
                <w:szCs w:val="18"/>
              </w:rPr>
              <w:t>C3份额：业绩比较基准为年化2.8%-3.1% 。</w:t>
            </w:r>
          </w:p>
          <w:p>
            <w:pPr>
              <w:pStyle w:val="null10"/>
              <w:spacing w:lineRule="exact" w:line="200"/>
            </w:pPr>
            <w:r>
              <w:rPr>
                <w:rFonts w:ascii="方正黑体_GBK" w:hAnsi="方正黑体_GBK" w:cs="宋体" w:eastAsia="方正黑体_GBK"/>
                <w:sz w:val="18"/>
                <w:szCs w:val="18"/>
              </w:rPr>
              <w:t>D3份额：业绩比较基准为年化2.85%-3.15% 。</w:t>
            </w:r>
          </w:p>
          <w:p>
            <w:pPr>
              <w:pStyle w:val="null10"/>
              <w:spacing w:lineRule="exact" w:line="200"/>
            </w:pPr>
            <w:r>
              <w:rPr>
                <w:rFonts w:ascii="方正黑体_GBK" w:hAnsi="方正黑体_GBK" w:cs="宋体" w:eastAsia="方正黑体_GBK"/>
                <w:sz w:val="18"/>
                <w:szCs w:val="18"/>
              </w:rPr>
              <w:t>E3份额：业绩比较基准为年化2.95%-3.25% 。</w:t>
            </w:r>
          </w:p>
          <w:p>
            <w:pPr>
              <w:pStyle w:val="null10"/>
              <w:spacing w:lineRule="exact" w:line="200"/>
            </w:pPr>
            <w:r>
              <w:rPr>
                <w:rFonts w:ascii="方正黑体_GBK" w:hAnsi="方正黑体_GBK" w:cs="宋体" w:eastAsia="方正黑体_GBK"/>
                <w:sz w:val="18"/>
                <w:szCs w:val="18"/>
              </w:rPr>
              <w:t>A4份额：业绩比较基准为年化2.7%-3% 。</w:t>
            </w:r>
          </w:p>
          <w:p>
            <w:pPr>
              <w:pStyle w:val="null10"/>
              <w:spacing w:lineRule="exact" w:line="200"/>
            </w:pPr>
            <w:r>
              <w:rPr>
                <w:rFonts w:ascii="方正黑体_GBK" w:hAnsi="方正黑体_GBK" w:cs="宋体" w:eastAsia="方正黑体_GBK"/>
                <w:sz w:val="18"/>
                <w:szCs w:val="18"/>
              </w:rPr>
              <w:t>B4份额：业绩比较基准为年化2.7%-3% 。</w:t>
            </w:r>
          </w:p>
          <w:p>
            <w:pPr>
              <w:pStyle w:val="null10"/>
              <w:spacing w:lineRule="exact" w:line="200"/>
            </w:pPr>
            <w:r>
              <w:rPr>
                <w:rFonts w:ascii="方正黑体_GBK" w:hAnsi="方正黑体_GBK" w:cs="宋体" w:eastAsia="方正黑体_GBK"/>
                <w:sz w:val="18"/>
                <w:szCs w:val="18"/>
              </w:rPr>
              <w:t>C4份额：业绩比较基准为年化2.8%-3.1% 。</w:t>
            </w:r>
          </w:p>
          <w:p>
            <w:pPr>
              <w:pStyle w:val="null10"/>
              <w:spacing w:lineRule="exact" w:line="200"/>
            </w:pPr>
            <w:r>
              <w:rPr>
                <w:rFonts w:ascii="方正黑体_GBK" w:hAnsi="方正黑体_GBK" w:cs="宋体" w:eastAsia="方正黑体_GBK"/>
                <w:sz w:val="18"/>
                <w:szCs w:val="18"/>
              </w:rPr>
              <w:t>D4份额：业绩比较基准为年化2.85%-3.15% 。</w:t>
            </w:r>
          </w:p>
          <w:p>
            <w:pPr>
              <w:pStyle w:val="null10"/>
              <w:spacing w:lineRule="exact" w:line="200"/>
            </w:pPr>
            <w:r>
              <w:rPr>
                <w:rFonts w:ascii="方正黑体_GBK" w:hAnsi="方正黑体_GBK" w:cs="宋体" w:eastAsia="方正黑体_GBK"/>
                <w:sz w:val="18"/>
                <w:szCs w:val="18"/>
              </w:rPr>
              <w:t>E4份额：业绩比较基准为年化2.95%-3.25% 。</w:t>
            </w:r>
          </w:p>
          <w:p>
            <w:pPr>
              <w:pStyle w:val="null10"/>
              <w:spacing w:lineRule="exact" w:line="200"/>
            </w:pPr>
            <w:r>
              <w:rPr>
                <w:rFonts w:ascii="方正黑体_GBK" w:hAnsi="方正黑体_GBK" w:cs="宋体" w:eastAsia="方正黑体_GBK"/>
                <w:sz w:val="18"/>
                <w:szCs w:val="18"/>
              </w:rPr>
              <w:t>F2份额：业绩比较基准为年化2.8%-3.1% 。</w:t>
            </w:r>
          </w:p>
          <w:p>
            <w:pPr>
              <w:pStyle w:val="null10"/>
              <w:spacing w:lineRule="exact" w:line="200"/>
            </w:pPr>
            <w:r>
              <w:rPr>
                <w:rFonts w:ascii="方正黑体_GBK" w:hAnsi="方正黑体_GBK" w:cs="宋体" w:eastAsia="方正黑体_GBK"/>
                <w:sz w:val="18"/>
                <w:szCs w:val="18"/>
              </w:rPr>
              <w:t>F3份额：业绩比较基准为年化2.8%-3.1% 。</w:t>
            </w:r>
          </w:p>
          <w:p>
            <w:pPr>
              <w:pStyle w:val="null10"/>
              <w:spacing w:lineRule="exact" w:line="200"/>
            </w:pPr>
            <w:r>
              <w:rPr>
                <w:rFonts w:ascii="方正黑体_GBK" w:hAnsi="方正黑体_GBK" w:cs="宋体" w:eastAsia="方正黑体_GBK"/>
                <w:sz w:val="18"/>
                <w:szCs w:val="18"/>
              </w:rPr>
              <w:t>G2份额：业绩比较基准为年化2.9%-3.2% 。</w:t>
            </w:r>
          </w:p>
          <w:p>
            <w:pPr>
              <w:pStyle w:val="null10"/>
              <w:spacing w:lineRule="exact" w:line="200"/>
            </w:pPr>
            <w:r>
              <w:rPr>
                <w:rFonts w:ascii="方正黑体_GBK" w:hAnsi="方正黑体_GBK" w:cs="宋体" w:eastAsia="方正黑体_GBK"/>
                <w:sz w:val="18"/>
                <w:szCs w:val="18"/>
              </w:rPr>
              <w:t>G3份额：业绩比较基准为年化2.9%-3.2% 。</w:t>
            </w:r>
          </w:p>
          <w:p>
            <w:pPr>
              <w:pStyle w:val="null10"/>
              <w:spacing w:lineRule="exact" w:line="200"/>
            </w:pPr>
            <w:r>
              <w:rPr>
                <w:rFonts w:ascii="方正黑体_GBK" w:hAnsi="方正黑体_GBK" w:cs="宋体" w:eastAsia="方正黑体_GBK"/>
                <w:sz w:val="18"/>
                <w:szCs w:val="18"/>
              </w:rPr>
              <w:t>F4份额：业绩比较基准为年化2.8%-3.1% 。</w:t>
            </w:r>
          </w:p>
          <w:p>
            <w:pPr>
              <w:pStyle w:val="null10"/>
              <w:spacing w:lineRule="exact" w:line="200"/>
            </w:pPr>
            <w:r>
              <w:rPr>
                <w:rFonts w:ascii="方正黑体_GBK" w:hAnsi="方正黑体_GBK" w:cs="宋体" w:eastAsia="方正黑体_GBK"/>
                <w:sz w:val="18"/>
                <w:szCs w:val="18"/>
              </w:rPr>
              <w:t>G4份额：业绩比较基准为年化2.9%-3.2% 。</w:t>
            </w:r>
          </w:p>
          <w:p>
            <w:pPr>
              <w:pStyle w:val="null10"/>
              <w:spacing w:lineRule="exact" w:line="200"/>
            </w:pPr>
            <w:r>
              <w:rPr>
                <w:rFonts w:ascii="方正黑体_GBK" w:hAnsi="方正黑体_GBK" w:cs="宋体" w:eastAsia="方正黑体_GBK"/>
                <w:sz w:val="18"/>
                <w:szCs w:val="18"/>
              </w:rPr>
              <w:t>H2份额：业绩比较基准为年化2.9%-3.2% 。</w:t>
            </w:r>
          </w:p>
          <w:p>
            <w:pPr>
              <w:pStyle w:val="null10"/>
              <w:spacing w:lineRule="exact" w:line="200"/>
            </w:pPr>
            <w:r>
              <w:rPr>
                <w:rFonts w:ascii="方正黑体_GBK" w:hAnsi="方正黑体_GBK" w:cs="宋体" w:eastAsia="方正黑体_GBK"/>
                <w:sz w:val="18"/>
                <w:szCs w:val="18"/>
              </w:rPr>
              <w:t>J2份额：业绩比较基准为年化2.7%-3% 。</w:t>
            </w:r>
          </w:p>
          <w:p>
            <w:pPr>
              <w:pStyle w:val="null10"/>
              <w:spacing w:lineRule="exact" w:line="200"/>
            </w:pPr>
            <w:r>
              <w:rPr>
                <w:rFonts w:ascii="方正黑体_GBK" w:hAnsi="方正黑体_GBK" w:cs="宋体" w:eastAsia="方正黑体_GBK"/>
                <w:sz w:val="18"/>
                <w:szCs w:val="18"/>
              </w:rPr>
              <w:t>K2份额：业绩比较基准为年化2.7%-3% 。</w:t>
            </w:r>
          </w:p>
          <w:p>
            <w:pPr>
              <w:pStyle w:val="null10"/>
              <w:spacing w:lineRule="exact" w:line="200"/>
            </w:pPr>
            <w:r>
              <w:rPr>
                <w:rFonts w:ascii="方正黑体_GBK" w:hAnsi="方正黑体_GBK" w:cs="宋体" w:eastAsia="方正黑体_GBK"/>
                <w:sz w:val="18"/>
                <w:szCs w:val="18"/>
              </w:rPr>
              <w:t>J3份额：业绩比较基准为年化2.7%-3% 。</w:t>
            </w:r>
          </w:p>
          <w:p>
            <w:pPr>
              <w:pStyle w:val="null10"/>
              <w:spacing w:lineRule="exact" w:line="200"/>
            </w:pPr>
            <w:r>
              <w:rPr>
                <w:rFonts w:ascii="方正黑体_GBK" w:hAnsi="方正黑体_GBK" w:cs="宋体" w:eastAsia="方正黑体_GBK"/>
                <w:sz w:val="18"/>
                <w:szCs w:val="18"/>
              </w:rPr>
              <w:t>K3份额：业绩比较基准为年化2.7%-3% 。</w:t>
            </w:r>
          </w:p>
          <w:p>
            <w:pPr>
              <w:pStyle w:val="null10"/>
              <w:spacing w:lineRule="exact" w:line="200"/>
            </w:pPr>
            <w:r>
              <w:rPr>
                <w:rFonts w:ascii="方正黑体_GBK" w:hAnsi="方正黑体_GBK" w:cs="宋体" w:eastAsia="方正黑体_GBK"/>
                <w:sz w:val="18"/>
                <w:szCs w:val="18"/>
              </w:rPr>
              <w:t>J4份额：业绩比较基准为年化2.7%-3% 。</w:t>
            </w:r>
          </w:p>
          <w:p>
            <w:pPr>
              <w:pStyle w:val="null10"/>
              <w:spacing w:lineRule="exact" w:line="200"/>
            </w:pPr>
            <w:r>
              <w:rPr>
                <w:rFonts w:ascii="方正黑体_GBK" w:hAnsi="方正黑体_GBK" w:cs="宋体" w:eastAsia="方正黑体_GBK"/>
                <w:sz w:val="18"/>
                <w:szCs w:val="18"/>
              </w:rPr>
              <w:t>K4份额：业绩比较基准为年化2.7%-3% 。</w:t>
            </w:r>
          </w:p>
          <w:p>
            <w:pPr>
              <w:pStyle w:val="null10"/>
              <w:spacing w:lineRule="exact" w:line="200"/>
            </w:pPr>
            <w:r>
              <w:rPr>
                <w:rFonts w:ascii="方正黑体_GBK" w:hAnsi="方正黑体_GBK" w:cs="宋体" w:eastAsia="方正黑体_GBK"/>
                <w:sz w:val="18"/>
                <w:szCs w:val="18"/>
              </w:rPr>
              <w:t>L4份额：业绩比较基准为年化2.8%-3.1% 。</w:t>
            </w:r>
          </w:p>
          <w:p>
            <w:pPr>
              <w:pStyle w:val="null10"/>
              <w:spacing w:lineRule="exact" w:line="200"/>
            </w:pPr>
            <w:r>
              <w:rPr>
                <w:rFonts w:ascii="方正黑体_GBK" w:hAnsi="方正黑体_GBK" w:cs="宋体" w:eastAsia="方正黑体_GBK"/>
                <w:sz w:val="18"/>
                <w:szCs w:val="18"/>
              </w:rPr>
              <w:t>M2份额：业绩比较基准为年化2.7%-3% 。</w:t>
            </w:r>
          </w:p>
          <w:p>
            <w:pPr>
              <w:pStyle w:val="null10"/>
              <w:spacing w:lineRule="exact" w:line="200"/>
            </w:pPr>
            <w:r>
              <w:rPr>
                <w:rFonts w:ascii="方正黑体_GBK" w:hAnsi="方正黑体_GBK" w:cs="宋体" w:eastAsia="方正黑体_GBK"/>
                <w:sz w:val="18"/>
                <w:szCs w:val="18"/>
              </w:rPr>
              <w:t>M3份额：业绩比较基准为年化2.7%-3% 。</w:t>
            </w:r>
          </w:p>
          <w:p>
            <w:pPr>
              <w:pStyle w:val="null10"/>
              <w:spacing w:lineRule="exact" w:line="200"/>
            </w:pPr>
            <w:r>
              <w:rPr>
                <w:rFonts w:ascii="方正黑体_GBK" w:hAnsi="方正黑体_GBK" w:cs="宋体" w:eastAsia="方正黑体_GBK"/>
                <w:sz w:val="18"/>
                <w:szCs w:val="18"/>
              </w:rPr>
              <w:t>M4份额：业绩比较基准为年化2.7%-3% 。</w:t>
            </w:r>
          </w:p>
          <w:p>
            <w:pPr>
              <w:pStyle w:val="null10"/>
              <w:spacing w:lineRule="exact" w:line="200"/>
            </w:pPr>
            <w:r>
              <w:rPr>
                <w:rFonts w:ascii="方正黑体_GBK" w:hAnsi="方正黑体_GBK" w:cs="宋体" w:eastAsia="方正黑体_GBK"/>
                <w:sz w:val="18"/>
                <w:szCs w:val="18"/>
              </w:rPr>
              <w:t>O2份额：业绩比较基准为年化2.85%-3.15% 。</w:t>
            </w:r>
          </w:p>
          <w:p>
            <w:pPr>
              <w:pStyle w:val="null10"/>
              <w:spacing w:lineRule="exact" w:line="200"/>
            </w:pPr>
            <w:r>
              <w:rPr>
                <w:rFonts w:ascii="方正黑体_GBK" w:hAnsi="方正黑体_GBK" w:cs="宋体" w:eastAsia="方正黑体_GBK"/>
                <w:sz w:val="18"/>
                <w:szCs w:val="18"/>
              </w:rPr>
              <w:t>P2份额：业绩比较基准为年化2.9%-3.2% 。</w:t>
            </w:r>
          </w:p>
          <w:p>
            <w:pPr>
              <w:pStyle w:val="null10"/>
              <w:spacing w:lineRule="exact" w:line="200"/>
            </w:pPr>
            <w:r>
              <w:rPr>
                <w:rFonts w:ascii="方正黑体_GBK" w:hAnsi="方正黑体_GBK" w:cs="宋体" w:eastAsia="方正黑体_GBK"/>
                <w:sz w:val="18"/>
                <w:szCs w:val="18"/>
              </w:rPr>
              <w:t>O3份额：业绩比较基准为年化2.85%-3.15% 。</w:t>
            </w:r>
          </w:p>
          <w:p>
            <w:pPr>
              <w:pStyle w:val="null10"/>
              <w:spacing w:lineRule="exact" w:line="200"/>
            </w:pPr>
            <w:r>
              <w:rPr>
                <w:rFonts w:ascii="方正黑体_GBK" w:hAnsi="方正黑体_GBK" w:cs="宋体" w:eastAsia="方正黑体_GBK"/>
                <w:sz w:val="18"/>
                <w:szCs w:val="18"/>
              </w:rPr>
              <w:t>P3份额：业绩比较基准为年化2.9%-3.2% 。</w:t>
            </w:r>
          </w:p>
          <w:p>
            <w:pPr>
              <w:pStyle w:val="null10"/>
              <w:spacing w:lineRule="exact" w:line="200"/>
            </w:pPr>
            <w:r>
              <w:rPr>
                <w:rFonts w:ascii="方正黑体_GBK" w:hAnsi="方正黑体_GBK" w:cs="宋体" w:eastAsia="方正黑体_GBK"/>
                <w:sz w:val="18"/>
                <w:szCs w:val="18"/>
              </w:rPr>
              <w:t>O4份额：业绩比较基准为年化2.85%-3.15% 。</w:t>
            </w:r>
          </w:p>
          <w:p>
            <w:pPr>
              <w:pStyle w:val="null10"/>
              <w:spacing w:lineRule="exact" w:line="200"/>
            </w:pPr>
            <w:r>
              <w:rPr>
                <w:rFonts w:ascii="方正黑体_GBK" w:hAnsi="方正黑体_GBK" w:cs="宋体" w:eastAsia="方正黑体_GBK"/>
                <w:sz w:val="18"/>
                <w:szCs w:val="18"/>
              </w:rPr>
              <w:t>P4份额：业绩比较基准为年化2.9%-3.2% 。</w:t>
            </w:r>
          </w:p>
          <w:p>
            <w:pPr>
              <w:pStyle w:val="null10"/>
              <w:spacing w:lineRule="exact" w:line="200"/>
              <w:jc w:val="left"/>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pPr>
              <w:pStyle w:val="null10"/>
              <w:spacing w:lineRule="exact" w:line="200"/>
              <w:jc w:val="left"/>
            </w:pPr>
            <w:r>
              <w:rPr>
                <w:rFonts w:ascii="方正黑体_GBK" w:hAnsi="方正黑体_GBK" w:cs="宋体" w:eastAsia="方正黑体_GBK"/>
                <w:sz w:val="18"/>
                <w:szCs w:val="18"/>
              </w:rPr>
              <w:t>注：管理人可根据市场情况对业绩比较基准进行适当调整，如有调整，将至少于调整前3个工作日公布调整方案。</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B份额：销售费年化0.2%</w:t>
            </w:r>
          </w:p>
          <w:p>
            <w:pPr>
              <w:pStyle w:val="null10"/>
              <w:spacing w:lineRule="exact" w:line="200"/>
            </w:pPr>
            <w:r>
              <w:rPr>
                <w:rFonts w:ascii="方正黑体_GBK" w:hAnsi="方正黑体_GBK" w:cs="宋体" w:eastAsia="方正黑体_GBK"/>
                <w:sz w:val="18"/>
                <w:b/>
                <w:szCs w:val="18"/>
              </w:rPr>
              <w:t>C份额：销售费年化0.15%</w:t>
            </w:r>
          </w:p>
          <w:p>
            <w:pPr>
              <w:pStyle w:val="null10"/>
              <w:spacing w:lineRule="exact" w:line="200"/>
            </w:pPr>
            <w:r>
              <w:rPr>
                <w:rFonts w:ascii="方正黑体_GBK" w:hAnsi="方正黑体_GBK" w:cs="宋体" w:eastAsia="方正黑体_GBK"/>
                <w:sz w:val="18"/>
                <w:b/>
                <w:szCs w:val="18"/>
              </w:rPr>
              <w:t>D份额：销售费年化0.15%</w:t>
            </w:r>
          </w:p>
          <w:p>
            <w:pPr>
              <w:pStyle w:val="null10"/>
              <w:spacing w:lineRule="exact" w:line="200"/>
            </w:pPr>
            <w:r>
              <w:rPr>
                <w:rFonts w:ascii="方正黑体_GBK" w:hAnsi="方正黑体_GBK" w:cs="宋体" w:eastAsia="方正黑体_GBK"/>
                <w:sz w:val="18"/>
                <w:b/>
                <w:szCs w:val="18"/>
              </w:rPr>
              <w:t>E份额：销售费年化0.05%</w:t>
            </w:r>
          </w:p>
          <w:p>
            <w:pPr>
              <w:pStyle w:val="null10"/>
              <w:spacing w:lineRule="exact" w:line="200"/>
            </w:pPr>
            <w:r>
              <w:rPr>
                <w:rFonts w:ascii="方正黑体_GBK" w:hAnsi="方正黑体_GBK" w:cs="宋体" w:eastAsia="方正黑体_GBK"/>
                <w:sz w:val="18"/>
                <w:b/>
                <w:szCs w:val="18"/>
              </w:rPr>
              <w:t>F份额：销售费年化0.2%</w:t>
            </w:r>
          </w:p>
          <w:p>
            <w:pPr>
              <w:pStyle w:val="null10"/>
              <w:spacing w:lineRule="exact" w:line="200"/>
            </w:pPr>
            <w:r>
              <w:rPr>
                <w:rFonts w:ascii="方正黑体_GBK" w:hAnsi="方正黑体_GBK" w:cs="宋体" w:eastAsia="方正黑体_GBK"/>
                <w:sz w:val="18"/>
                <w:b/>
                <w:szCs w:val="18"/>
              </w:rPr>
              <w:t>G份额：销售费年化0.1%</w:t>
            </w:r>
          </w:p>
          <w:p>
            <w:pPr>
              <w:pStyle w:val="null10"/>
              <w:spacing w:lineRule="exact" w:line="200"/>
            </w:pPr>
            <w:r>
              <w:rPr>
                <w:rFonts w:ascii="方正黑体_GBK" w:hAnsi="方正黑体_GBK" w:cs="宋体" w:eastAsia="方正黑体_GBK"/>
                <w:sz w:val="18"/>
                <w:b/>
                <w:szCs w:val="18"/>
              </w:rPr>
              <w:t>I份额：销售费年化0.05%</w:t>
            </w:r>
          </w:p>
          <w:p>
            <w:pPr>
              <w:pStyle w:val="null10"/>
              <w:spacing w:lineRule="exact" w:line="200"/>
            </w:pPr>
            <w:r>
              <w:rPr>
                <w:rFonts w:ascii="方正黑体_GBK" w:hAnsi="方正黑体_GBK" w:cs="宋体" w:eastAsia="方正黑体_GBK"/>
                <w:sz w:val="18"/>
                <w:b/>
                <w:szCs w:val="18"/>
              </w:rPr>
              <w:t>J份额：销售费年化0.3%</w:t>
            </w:r>
          </w:p>
          <w:p>
            <w:pPr>
              <w:pStyle w:val="null10"/>
              <w:spacing w:lineRule="exact" w:line="200"/>
            </w:pPr>
            <w:r>
              <w:rPr>
                <w:rFonts w:ascii="方正黑体_GBK" w:hAnsi="方正黑体_GBK" w:cs="宋体" w:eastAsia="方正黑体_GBK"/>
                <w:sz w:val="18"/>
                <w:b/>
                <w:szCs w:val="18"/>
              </w:rPr>
              <w:t>K份额：销售费年化0.3%</w:t>
            </w:r>
          </w:p>
          <w:p>
            <w:pPr>
              <w:pStyle w:val="null10"/>
              <w:spacing w:lineRule="exact" w:line="200"/>
            </w:pPr>
            <w:r>
              <w:rPr>
                <w:rFonts w:ascii="方正黑体_GBK" w:hAnsi="方正黑体_GBK" w:cs="宋体" w:eastAsia="方正黑体_GBK"/>
                <w:sz w:val="18"/>
                <w:b/>
                <w:szCs w:val="18"/>
              </w:rPr>
              <w:t>M份额：销售费年化0.2%</w:t>
            </w:r>
          </w:p>
          <w:p>
            <w:pPr>
              <w:pStyle w:val="null10"/>
              <w:spacing w:lineRule="exact" w:line="200"/>
            </w:pPr>
            <w:r>
              <w:rPr>
                <w:rFonts w:ascii="方正黑体_GBK" w:hAnsi="方正黑体_GBK" w:cs="宋体" w:eastAsia="方正黑体_GBK"/>
                <w:sz w:val="18"/>
                <w:b/>
                <w:szCs w:val="18"/>
              </w:rPr>
              <w:t>N份额：销售费年化0.05%</w:t>
            </w:r>
          </w:p>
          <w:p>
            <w:pPr>
              <w:pStyle w:val="null10"/>
              <w:spacing w:lineRule="exact" w:line="200"/>
            </w:pPr>
            <w:r>
              <w:rPr>
                <w:rFonts w:ascii="方正黑体_GBK" w:hAnsi="方正黑体_GBK" w:cs="宋体" w:eastAsia="方正黑体_GBK"/>
                <w:sz w:val="18"/>
                <w:b/>
                <w:szCs w:val="18"/>
              </w:rPr>
              <w:t>O份额：销售费年化0.2%</w:t>
            </w:r>
          </w:p>
          <w:p>
            <w:pPr>
              <w:pStyle w:val="null10"/>
              <w:spacing w:lineRule="exact" w:line="200"/>
            </w:pPr>
            <w:r>
              <w:rPr>
                <w:rFonts w:ascii="方正黑体_GBK" w:hAnsi="方正黑体_GBK" w:cs="宋体" w:eastAsia="方正黑体_GBK"/>
                <w:sz w:val="18"/>
                <w:b/>
                <w:szCs w:val="18"/>
              </w:rPr>
              <w:t>P份额：销售费年化0.15%</w:t>
            </w:r>
          </w:p>
          <w:p>
            <w:pPr>
              <w:pStyle w:val="null10"/>
              <w:spacing w:lineRule="exact" w:line="200"/>
            </w:pPr>
            <w:r>
              <w:rPr>
                <w:rFonts w:ascii="方正黑体_GBK" w:hAnsi="方正黑体_GBK" w:cs="宋体" w:eastAsia="方正黑体_GBK"/>
                <w:sz w:val="18"/>
                <w:b/>
                <w:szCs w:val="18"/>
              </w:rPr>
              <w:t>A2份额：销售费年化0.2%</w:t>
            </w:r>
          </w:p>
          <w:p>
            <w:pPr>
              <w:pStyle w:val="null10"/>
              <w:spacing w:lineRule="exact" w:line="200"/>
            </w:pPr>
            <w:r>
              <w:rPr>
                <w:rFonts w:ascii="方正黑体_GBK" w:hAnsi="方正黑体_GBK" w:cs="宋体" w:eastAsia="方正黑体_GBK"/>
                <w:sz w:val="18"/>
                <w:b/>
                <w:szCs w:val="18"/>
              </w:rPr>
              <w:t>B2份额：销售费年化0.2%</w:t>
            </w:r>
          </w:p>
          <w:p>
            <w:pPr>
              <w:pStyle w:val="null10"/>
              <w:spacing w:lineRule="exact" w:line="200"/>
            </w:pPr>
            <w:r>
              <w:rPr>
                <w:rFonts w:ascii="方正黑体_GBK" w:hAnsi="方正黑体_GBK" w:cs="宋体" w:eastAsia="方正黑体_GBK"/>
                <w:sz w:val="18"/>
                <w:b/>
                <w:szCs w:val="18"/>
              </w:rPr>
              <w:t>C2份额：销售费年化0.15%</w:t>
            </w:r>
          </w:p>
          <w:p>
            <w:pPr>
              <w:pStyle w:val="null10"/>
              <w:spacing w:lineRule="exact" w:line="200"/>
            </w:pPr>
            <w:r>
              <w:rPr>
                <w:rFonts w:ascii="方正黑体_GBK" w:hAnsi="方正黑体_GBK" w:cs="宋体" w:eastAsia="方正黑体_GBK"/>
                <w:sz w:val="18"/>
                <w:b/>
                <w:szCs w:val="18"/>
              </w:rPr>
              <w:t>D2份额：销售费年化0.15%</w:t>
            </w:r>
          </w:p>
          <w:p>
            <w:pPr>
              <w:pStyle w:val="null10"/>
              <w:spacing w:lineRule="exact" w:line="200"/>
            </w:pPr>
            <w:r>
              <w:rPr>
                <w:rFonts w:ascii="方正黑体_GBK" w:hAnsi="方正黑体_GBK" w:cs="宋体" w:eastAsia="方正黑体_GBK"/>
                <w:sz w:val="18"/>
                <w:b/>
                <w:szCs w:val="18"/>
              </w:rPr>
              <w:t>E2份额：销售费年化0.05%</w:t>
            </w:r>
          </w:p>
          <w:p>
            <w:pPr>
              <w:pStyle w:val="null10"/>
              <w:spacing w:lineRule="exact" w:line="200"/>
            </w:pPr>
            <w:r>
              <w:rPr>
                <w:rFonts w:ascii="方正黑体_GBK" w:hAnsi="方正黑体_GBK" w:cs="宋体" w:eastAsia="方正黑体_GBK"/>
                <w:sz w:val="18"/>
                <w:b/>
                <w:szCs w:val="18"/>
              </w:rPr>
              <w:t>A3份额：销售费年化0.2%</w:t>
            </w:r>
          </w:p>
          <w:p>
            <w:pPr>
              <w:pStyle w:val="null10"/>
              <w:spacing w:lineRule="exact" w:line="200"/>
            </w:pPr>
            <w:r>
              <w:rPr>
                <w:rFonts w:ascii="方正黑体_GBK" w:hAnsi="方正黑体_GBK" w:cs="宋体" w:eastAsia="方正黑体_GBK"/>
                <w:sz w:val="18"/>
                <w:b/>
                <w:szCs w:val="18"/>
              </w:rPr>
              <w:t>B3份额：销售费年化0.2%</w:t>
            </w:r>
          </w:p>
          <w:p>
            <w:pPr>
              <w:pStyle w:val="null10"/>
              <w:spacing w:lineRule="exact" w:line="200"/>
            </w:pPr>
            <w:r>
              <w:rPr>
                <w:rFonts w:ascii="方正黑体_GBK" w:hAnsi="方正黑体_GBK" w:cs="宋体" w:eastAsia="方正黑体_GBK"/>
                <w:sz w:val="18"/>
                <w:b/>
                <w:szCs w:val="18"/>
              </w:rPr>
              <w:t>C3份额：销售费年化0.15%</w:t>
            </w:r>
          </w:p>
          <w:p>
            <w:pPr>
              <w:pStyle w:val="null10"/>
              <w:spacing w:lineRule="exact" w:line="200"/>
            </w:pPr>
            <w:r>
              <w:rPr>
                <w:rFonts w:ascii="方正黑体_GBK" w:hAnsi="方正黑体_GBK" w:cs="宋体" w:eastAsia="方正黑体_GBK"/>
                <w:sz w:val="18"/>
                <w:b/>
                <w:szCs w:val="18"/>
              </w:rPr>
              <w:t>D3份额：销售费年化0.15%</w:t>
            </w:r>
          </w:p>
          <w:p>
            <w:pPr>
              <w:pStyle w:val="null10"/>
              <w:spacing w:lineRule="exact" w:line="200"/>
            </w:pPr>
            <w:r>
              <w:rPr>
                <w:rFonts w:ascii="方正黑体_GBK" w:hAnsi="方正黑体_GBK" w:cs="宋体" w:eastAsia="方正黑体_GBK"/>
                <w:sz w:val="18"/>
                <w:b/>
                <w:szCs w:val="18"/>
              </w:rPr>
              <w:t>E3份额：销售费年化0.05%</w:t>
            </w:r>
          </w:p>
          <w:p>
            <w:pPr>
              <w:pStyle w:val="null10"/>
              <w:spacing w:lineRule="exact" w:line="200"/>
            </w:pPr>
            <w:r>
              <w:rPr>
                <w:rFonts w:ascii="方正黑体_GBK" w:hAnsi="方正黑体_GBK" w:cs="宋体" w:eastAsia="方正黑体_GBK"/>
                <w:sz w:val="18"/>
                <w:b/>
                <w:szCs w:val="18"/>
              </w:rPr>
              <w:t>A4份额：销售费年化0.2%</w:t>
            </w:r>
          </w:p>
          <w:p>
            <w:pPr>
              <w:pStyle w:val="null10"/>
              <w:spacing w:lineRule="exact" w:line="200"/>
            </w:pPr>
            <w:r>
              <w:rPr>
                <w:rFonts w:ascii="方正黑体_GBK" w:hAnsi="方正黑体_GBK" w:cs="宋体" w:eastAsia="方正黑体_GBK"/>
                <w:sz w:val="18"/>
                <w:b/>
                <w:szCs w:val="18"/>
              </w:rPr>
              <w:t>B4份额：销售费年化0.2%</w:t>
            </w:r>
          </w:p>
          <w:p>
            <w:pPr>
              <w:pStyle w:val="null10"/>
              <w:spacing w:lineRule="exact" w:line="200"/>
            </w:pPr>
            <w:r>
              <w:rPr>
                <w:rFonts w:ascii="方正黑体_GBK" w:hAnsi="方正黑体_GBK" w:cs="宋体" w:eastAsia="方正黑体_GBK"/>
                <w:sz w:val="18"/>
                <w:b/>
                <w:szCs w:val="18"/>
              </w:rPr>
              <w:t>C4份额：销售费年化0.15%</w:t>
            </w:r>
          </w:p>
          <w:p>
            <w:pPr>
              <w:pStyle w:val="null10"/>
              <w:spacing w:lineRule="exact" w:line="200"/>
            </w:pPr>
            <w:r>
              <w:rPr>
                <w:rFonts w:ascii="方正黑体_GBK" w:hAnsi="方正黑体_GBK" w:cs="宋体" w:eastAsia="方正黑体_GBK"/>
                <w:sz w:val="18"/>
                <w:b/>
                <w:szCs w:val="18"/>
              </w:rPr>
              <w:t>D4份额：销售费年化0.15%</w:t>
            </w:r>
          </w:p>
          <w:p>
            <w:pPr>
              <w:pStyle w:val="null10"/>
              <w:spacing w:lineRule="exact" w:line="200"/>
            </w:pPr>
            <w:r>
              <w:rPr>
                <w:rFonts w:ascii="方正黑体_GBK" w:hAnsi="方正黑体_GBK" w:cs="宋体" w:eastAsia="方正黑体_GBK"/>
                <w:sz w:val="18"/>
                <w:b/>
                <w:szCs w:val="18"/>
              </w:rPr>
              <w:t>E4份额：销售费年化0.05%</w:t>
            </w:r>
          </w:p>
          <w:p>
            <w:pPr>
              <w:pStyle w:val="null10"/>
              <w:spacing w:lineRule="exact" w:line="200"/>
            </w:pPr>
            <w:r>
              <w:rPr>
                <w:rFonts w:ascii="方正黑体_GBK" w:hAnsi="方正黑体_GBK" w:cs="宋体" w:eastAsia="方正黑体_GBK"/>
                <w:sz w:val="18"/>
                <w:b/>
                <w:szCs w:val="18"/>
              </w:rPr>
              <w:t>F2份额：销售费年化0.2%</w:t>
            </w:r>
          </w:p>
          <w:p>
            <w:pPr>
              <w:pStyle w:val="null10"/>
              <w:spacing w:lineRule="exact" w:line="200"/>
            </w:pPr>
            <w:r>
              <w:rPr>
                <w:rFonts w:ascii="方正黑体_GBK" w:hAnsi="方正黑体_GBK" w:cs="宋体" w:eastAsia="方正黑体_GBK"/>
                <w:sz w:val="18"/>
                <w:b/>
                <w:szCs w:val="18"/>
              </w:rPr>
              <w:t>F3份额：销售费年化0.2%</w:t>
            </w:r>
          </w:p>
          <w:p>
            <w:pPr>
              <w:pStyle w:val="null10"/>
              <w:spacing w:lineRule="exact" w:line="200"/>
            </w:pPr>
            <w:r>
              <w:rPr>
                <w:rFonts w:ascii="方正黑体_GBK" w:hAnsi="方正黑体_GBK" w:cs="宋体" w:eastAsia="方正黑体_GBK"/>
                <w:sz w:val="18"/>
                <w:b/>
                <w:szCs w:val="18"/>
              </w:rPr>
              <w:t>G2份额：销售费年化0.1%</w:t>
            </w:r>
          </w:p>
          <w:p>
            <w:pPr>
              <w:pStyle w:val="null10"/>
              <w:spacing w:lineRule="exact" w:line="200"/>
            </w:pPr>
            <w:r>
              <w:rPr>
                <w:rFonts w:ascii="方正黑体_GBK" w:hAnsi="方正黑体_GBK" w:cs="宋体" w:eastAsia="方正黑体_GBK"/>
                <w:sz w:val="18"/>
                <w:b/>
                <w:szCs w:val="18"/>
              </w:rPr>
              <w:t>G3份额：销售费年化0.1%</w:t>
            </w:r>
          </w:p>
          <w:p>
            <w:pPr>
              <w:pStyle w:val="null10"/>
              <w:spacing w:lineRule="exact" w:line="200"/>
            </w:pPr>
            <w:r>
              <w:rPr>
                <w:rFonts w:ascii="方正黑体_GBK" w:hAnsi="方正黑体_GBK" w:cs="宋体" w:eastAsia="方正黑体_GBK"/>
                <w:sz w:val="18"/>
                <w:b/>
                <w:szCs w:val="18"/>
              </w:rPr>
              <w:t>F4份额：销售费年化0.2%</w:t>
            </w:r>
          </w:p>
          <w:p>
            <w:pPr>
              <w:pStyle w:val="null10"/>
              <w:spacing w:lineRule="exact" w:line="200"/>
            </w:pPr>
            <w:r>
              <w:rPr>
                <w:rFonts w:ascii="方正黑体_GBK" w:hAnsi="方正黑体_GBK" w:cs="宋体" w:eastAsia="方正黑体_GBK"/>
                <w:sz w:val="18"/>
                <w:b/>
                <w:szCs w:val="18"/>
              </w:rPr>
              <w:t>G4份额：销售费年化0.1%</w:t>
            </w:r>
          </w:p>
          <w:p>
            <w:pPr>
              <w:pStyle w:val="null10"/>
              <w:spacing w:lineRule="exact" w:line="200"/>
            </w:pPr>
            <w:r>
              <w:rPr>
                <w:rFonts w:ascii="方正黑体_GBK" w:hAnsi="方正黑体_GBK" w:cs="宋体" w:eastAsia="方正黑体_GBK"/>
                <w:sz w:val="18"/>
                <w:b/>
                <w:szCs w:val="18"/>
              </w:rPr>
              <w:t>H2份额：销售费年化0.1%</w:t>
            </w:r>
          </w:p>
          <w:p>
            <w:pPr>
              <w:pStyle w:val="null10"/>
              <w:spacing w:lineRule="exact" w:line="200"/>
            </w:pPr>
            <w:r>
              <w:rPr>
                <w:rFonts w:ascii="方正黑体_GBK" w:hAnsi="方正黑体_GBK" w:cs="宋体" w:eastAsia="方正黑体_GBK"/>
                <w:sz w:val="18"/>
                <w:b/>
                <w:szCs w:val="18"/>
              </w:rPr>
              <w:t>J2份额：销售费年化0.3%</w:t>
            </w:r>
          </w:p>
          <w:p>
            <w:pPr>
              <w:pStyle w:val="null10"/>
              <w:spacing w:lineRule="exact" w:line="200"/>
            </w:pPr>
            <w:r>
              <w:rPr>
                <w:rFonts w:ascii="方正黑体_GBK" w:hAnsi="方正黑体_GBK" w:cs="宋体" w:eastAsia="方正黑体_GBK"/>
                <w:sz w:val="18"/>
                <w:b/>
                <w:szCs w:val="18"/>
              </w:rPr>
              <w:t>K2份额：销售费年化0.3%</w:t>
            </w:r>
          </w:p>
          <w:p>
            <w:pPr>
              <w:pStyle w:val="null10"/>
              <w:spacing w:lineRule="exact" w:line="200"/>
            </w:pPr>
            <w:r>
              <w:rPr>
                <w:rFonts w:ascii="方正黑体_GBK" w:hAnsi="方正黑体_GBK" w:cs="宋体" w:eastAsia="方正黑体_GBK"/>
                <w:sz w:val="18"/>
                <w:b/>
                <w:szCs w:val="18"/>
              </w:rPr>
              <w:t>J3份额：销售费年化0.3%</w:t>
            </w:r>
          </w:p>
          <w:p>
            <w:pPr>
              <w:pStyle w:val="null10"/>
              <w:spacing w:lineRule="exact" w:line="200"/>
            </w:pPr>
            <w:r>
              <w:rPr>
                <w:rFonts w:ascii="方正黑体_GBK" w:hAnsi="方正黑体_GBK" w:cs="宋体" w:eastAsia="方正黑体_GBK"/>
                <w:sz w:val="18"/>
                <w:b/>
                <w:szCs w:val="18"/>
              </w:rPr>
              <w:t>K3份额：销售费年化0.3%</w:t>
            </w:r>
          </w:p>
          <w:p>
            <w:pPr>
              <w:pStyle w:val="null10"/>
              <w:spacing w:lineRule="exact" w:line="200"/>
            </w:pPr>
            <w:r>
              <w:rPr>
                <w:rFonts w:ascii="方正黑体_GBK" w:hAnsi="方正黑体_GBK" w:cs="宋体" w:eastAsia="方正黑体_GBK"/>
                <w:sz w:val="18"/>
                <w:b/>
                <w:szCs w:val="18"/>
              </w:rPr>
              <w:t>J4份额：销售费年化0.3%</w:t>
            </w:r>
          </w:p>
          <w:p>
            <w:pPr>
              <w:pStyle w:val="null10"/>
              <w:spacing w:lineRule="exact" w:line="200"/>
            </w:pPr>
            <w:r>
              <w:rPr>
                <w:rFonts w:ascii="方正黑体_GBK" w:hAnsi="方正黑体_GBK" w:cs="宋体" w:eastAsia="方正黑体_GBK"/>
                <w:sz w:val="18"/>
                <w:b/>
                <w:szCs w:val="18"/>
              </w:rPr>
              <w:t>K4份额：销售费年化0.3%</w:t>
            </w:r>
          </w:p>
          <w:p>
            <w:pPr>
              <w:pStyle w:val="null10"/>
              <w:spacing w:lineRule="exact" w:line="200"/>
            </w:pPr>
            <w:r>
              <w:rPr>
                <w:rFonts w:ascii="方正黑体_GBK" w:hAnsi="方正黑体_GBK" w:cs="宋体" w:eastAsia="方正黑体_GBK"/>
                <w:sz w:val="18"/>
                <w:b/>
                <w:szCs w:val="18"/>
              </w:rPr>
              <w:t>L4份额：销售费年化0.2%</w:t>
            </w:r>
          </w:p>
          <w:p>
            <w:pPr>
              <w:pStyle w:val="null10"/>
              <w:spacing w:lineRule="exact" w:line="200"/>
            </w:pPr>
            <w:r>
              <w:rPr>
                <w:rFonts w:ascii="方正黑体_GBK" w:hAnsi="方正黑体_GBK" w:cs="宋体" w:eastAsia="方正黑体_GBK"/>
                <w:sz w:val="18"/>
                <w:b/>
                <w:szCs w:val="18"/>
              </w:rPr>
              <w:t>M2份额：销售费年化0.2%</w:t>
            </w:r>
          </w:p>
          <w:p>
            <w:pPr>
              <w:pStyle w:val="null10"/>
              <w:spacing w:lineRule="exact" w:line="200"/>
            </w:pPr>
            <w:r>
              <w:rPr>
                <w:rFonts w:ascii="方正黑体_GBK" w:hAnsi="方正黑体_GBK" w:cs="宋体" w:eastAsia="方正黑体_GBK"/>
                <w:sz w:val="18"/>
                <w:b/>
                <w:szCs w:val="18"/>
              </w:rPr>
              <w:t>M3份额：销售费年化0.2%</w:t>
            </w:r>
          </w:p>
          <w:p>
            <w:pPr>
              <w:pStyle w:val="null10"/>
              <w:spacing w:lineRule="exact" w:line="200"/>
            </w:pPr>
            <w:r>
              <w:rPr>
                <w:rFonts w:ascii="方正黑体_GBK" w:hAnsi="方正黑体_GBK" w:cs="宋体" w:eastAsia="方正黑体_GBK"/>
                <w:sz w:val="18"/>
                <w:b/>
                <w:szCs w:val="18"/>
              </w:rPr>
              <w:t>M4份额：销售费年化0.2%</w:t>
            </w:r>
          </w:p>
          <w:p>
            <w:pPr>
              <w:pStyle w:val="null10"/>
              <w:spacing w:lineRule="exact" w:line="200"/>
            </w:pPr>
            <w:r>
              <w:rPr>
                <w:rFonts w:ascii="方正黑体_GBK" w:hAnsi="方正黑体_GBK" w:cs="宋体" w:eastAsia="方正黑体_GBK"/>
                <w:sz w:val="18"/>
                <w:b/>
                <w:szCs w:val="18"/>
              </w:rPr>
              <w:t>O2份额：销售费年化0.2%</w:t>
            </w:r>
          </w:p>
          <w:p>
            <w:pPr>
              <w:pStyle w:val="null10"/>
              <w:spacing w:lineRule="exact" w:line="200"/>
            </w:pPr>
            <w:r>
              <w:rPr>
                <w:rFonts w:ascii="方正黑体_GBK" w:hAnsi="方正黑体_GBK" w:cs="宋体" w:eastAsia="方正黑体_GBK"/>
                <w:sz w:val="18"/>
                <w:b/>
                <w:szCs w:val="18"/>
              </w:rPr>
              <w:t>P2份额：销售费年化0.15%</w:t>
            </w:r>
          </w:p>
          <w:p>
            <w:pPr>
              <w:pStyle w:val="null10"/>
              <w:spacing w:lineRule="exact" w:line="200"/>
            </w:pPr>
            <w:r>
              <w:rPr>
                <w:rFonts w:ascii="方正黑体_GBK" w:hAnsi="方正黑体_GBK" w:cs="宋体" w:eastAsia="方正黑体_GBK"/>
                <w:sz w:val="18"/>
                <w:b/>
                <w:szCs w:val="18"/>
              </w:rPr>
              <w:t>O3份额：销售费年化0.2%</w:t>
            </w:r>
          </w:p>
          <w:p>
            <w:pPr>
              <w:pStyle w:val="null10"/>
              <w:spacing w:lineRule="exact" w:line="200"/>
            </w:pPr>
            <w:r>
              <w:rPr>
                <w:rFonts w:ascii="方正黑体_GBK" w:hAnsi="方正黑体_GBK" w:cs="宋体" w:eastAsia="方正黑体_GBK"/>
                <w:sz w:val="18"/>
                <w:b/>
                <w:szCs w:val="18"/>
              </w:rPr>
              <w:t>P3份额：销售费年化0.15%</w:t>
            </w:r>
          </w:p>
          <w:p>
            <w:pPr>
              <w:pStyle w:val="null10"/>
              <w:spacing w:lineRule="exact" w:line="200"/>
            </w:pPr>
            <w:r>
              <w:rPr>
                <w:rFonts w:ascii="方正黑体_GBK" w:hAnsi="方正黑体_GBK" w:cs="宋体" w:eastAsia="方正黑体_GBK"/>
                <w:sz w:val="18"/>
                <w:b/>
                <w:szCs w:val="18"/>
              </w:rPr>
              <w:t>O4份额：销售费年化0.2%</w:t>
            </w:r>
          </w:p>
          <w:p>
            <w:pPr>
              <w:pStyle w:val="null10"/>
              <w:spacing w:lineRule="exact" w:line="200"/>
            </w:pPr>
            <w:r>
              <w:rPr>
                <w:rFonts w:ascii="方正黑体_GBK" w:hAnsi="方正黑体_GBK" w:cs="宋体" w:eastAsia="方正黑体_GBK"/>
                <w:sz w:val="18"/>
                <w:b/>
                <w:szCs w:val="18"/>
              </w:rPr>
              <w:t>P4份额：销售费年化0.15%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A份额：固定管理费年化0.3%</w:t>
            </w:r>
          </w:p>
          <w:p>
            <w:pPr>
              <w:pStyle w:val="null10"/>
              <w:spacing w:lineRule="exact" w:line="200"/>
            </w:pPr>
            <w:r>
              <w:rPr>
                <w:rFonts w:ascii="方正黑体_GBK" w:hAnsi="方正黑体_GBK" w:cs="宋体" w:eastAsia="方正黑体_GBK"/>
                <w:sz w:val="18"/>
                <w:b/>
                <w:szCs w:val="18"/>
              </w:rPr>
              <w:t>B份额：固定管理费年化0.3%</w:t>
            </w:r>
          </w:p>
          <w:p>
            <w:pPr>
              <w:pStyle w:val="null10"/>
              <w:spacing w:lineRule="exact" w:line="200"/>
            </w:pPr>
            <w:r>
              <w:rPr>
                <w:rFonts w:ascii="方正黑体_GBK" w:hAnsi="方正黑体_GBK" w:cs="宋体" w:eastAsia="方正黑体_GBK"/>
                <w:sz w:val="18"/>
                <w:b/>
                <w:szCs w:val="18"/>
              </w:rPr>
              <w:t>C份额：固定管理费年化0.25%</w:t>
            </w:r>
          </w:p>
          <w:p>
            <w:pPr>
              <w:pStyle w:val="null10"/>
              <w:spacing w:lineRule="exact" w:line="200"/>
            </w:pPr>
            <w:r>
              <w:rPr>
                <w:rFonts w:ascii="方正黑体_GBK" w:hAnsi="方正黑体_GBK" w:cs="宋体" w:eastAsia="方正黑体_GBK"/>
                <w:sz w:val="18"/>
                <w:b/>
                <w:szCs w:val="18"/>
              </w:rPr>
              <w:t>D份额：固定管理费年化0.2%</w:t>
            </w:r>
          </w:p>
          <w:p>
            <w:pPr>
              <w:pStyle w:val="null10"/>
              <w:spacing w:lineRule="exact" w:line="200"/>
            </w:pPr>
            <w:r>
              <w:rPr>
                <w:rFonts w:ascii="方正黑体_GBK" w:hAnsi="方正黑体_GBK" w:cs="宋体" w:eastAsia="方正黑体_GBK"/>
                <w:sz w:val="18"/>
                <w:b/>
                <w:szCs w:val="18"/>
              </w:rPr>
              <w:t>E份额：固定管理费年化0.2%</w:t>
            </w:r>
          </w:p>
          <w:p>
            <w:pPr>
              <w:pStyle w:val="null10"/>
              <w:spacing w:lineRule="exact" w:line="200"/>
            </w:pPr>
            <w:r>
              <w:rPr>
                <w:rFonts w:ascii="方正黑体_GBK" w:hAnsi="方正黑体_GBK" w:cs="宋体" w:eastAsia="方正黑体_GBK"/>
                <w:sz w:val="18"/>
                <w:b/>
                <w:szCs w:val="18"/>
              </w:rPr>
              <w:t>F份额：固定管理费年化0.2%</w:t>
            </w:r>
          </w:p>
          <w:p>
            <w:pPr>
              <w:pStyle w:val="null10"/>
              <w:spacing w:lineRule="exact" w:line="200"/>
            </w:pPr>
            <w:r>
              <w:rPr>
                <w:rFonts w:ascii="方正黑体_GBK" w:hAnsi="方正黑体_GBK" w:cs="宋体" w:eastAsia="方正黑体_GBK"/>
                <w:sz w:val="18"/>
                <w:b/>
                <w:szCs w:val="18"/>
              </w:rPr>
              <w:t>G份额：固定管理费年化0.2%</w:t>
            </w:r>
          </w:p>
          <w:p>
            <w:pPr>
              <w:pStyle w:val="null10"/>
              <w:spacing w:lineRule="exact" w:line="200"/>
            </w:pPr>
            <w:r>
              <w:rPr>
                <w:rFonts w:ascii="方正黑体_GBK" w:hAnsi="方正黑体_GBK" w:cs="宋体" w:eastAsia="方正黑体_GBK"/>
                <w:sz w:val="18"/>
                <w:b/>
                <w:szCs w:val="18"/>
              </w:rPr>
              <w:t>I份额：固定管理费年化0.1%</w:t>
            </w:r>
          </w:p>
          <w:p>
            <w:pPr>
              <w:pStyle w:val="null10"/>
              <w:spacing w:lineRule="exact" w:line="200"/>
            </w:pPr>
            <w:r>
              <w:rPr>
                <w:rFonts w:ascii="方正黑体_GBK" w:hAnsi="方正黑体_GBK" w:cs="宋体" w:eastAsia="方正黑体_GBK"/>
                <w:sz w:val="18"/>
                <w:b/>
                <w:szCs w:val="18"/>
              </w:rPr>
              <w:t>J份额：固定管理费年化0.2%</w:t>
            </w:r>
          </w:p>
          <w:p>
            <w:pPr>
              <w:pStyle w:val="null10"/>
              <w:spacing w:lineRule="exact" w:line="200"/>
            </w:pPr>
            <w:r>
              <w:rPr>
                <w:rFonts w:ascii="方正黑体_GBK" w:hAnsi="方正黑体_GBK" w:cs="宋体" w:eastAsia="方正黑体_GBK"/>
                <w:sz w:val="18"/>
                <w:b/>
                <w:szCs w:val="18"/>
              </w:rPr>
              <w:t>K份额：固定管理费年化0.2%</w:t>
            </w:r>
          </w:p>
          <w:p>
            <w:pPr>
              <w:pStyle w:val="null10"/>
              <w:spacing w:lineRule="exact" w:line="200"/>
            </w:pPr>
            <w:r>
              <w:rPr>
                <w:rFonts w:ascii="方正黑体_GBK" w:hAnsi="方正黑体_GBK" w:cs="宋体" w:eastAsia="方正黑体_GBK"/>
                <w:sz w:val="18"/>
                <w:b/>
                <w:szCs w:val="18"/>
              </w:rPr>
              <w:t>M份额：固定管理费年化0.3%</w:t>
            </w:r>
          </w:p>
          <w:p>
            <w:pPr>
              <w:pStyle w:val="null10"/>
              <w:spacing w:lineRule="exact" w:line="200"/>
            </w:pPr>
            <w:r>
              <w:rPr>
                <w:rFonts w:ascii="方正黑体_GBK" w:hAnsi="方正黑体_GBK" w:cs="宋体" w:eastAsia="方正黑体_GBK"/>
                <w:sz w:val="18"/>
                <w:b/>
                <w:szCs w:val="18"/>
              </w:rPr>
              <w:t>N份额：固定管理费年化0.15%</w:t>
            </w:r>
          </w:p>
          <w:p>
            <w:pPr>
              <w:pStyle w:val="null10"/>
              <w:spacing w:lineRule="exact" w:line="200"/>
            </w:pPr>
            <w:r>
              <w:rPr>
                <w:rFonts w:ascii="方正黑体_GBK" w:hAnsi="方正黑体_GBK" w:cs="宋体" w:eastAsia="方正黑体_GBK"/>
                <w:sz w:val="18"/>
                <w:b/>
                <w:szCs w:val="18"/>
              </w:rPr>
              <w:t>O份额：固定管理费年化0.15%</w:t>
            </w:r>
          </w:p>
          <w:p>
            <w:pPr>
              <w:pStyle w:val="null10"/>
              <w:spacing w:lineRule="exact" w:line="200"/>
            </w:pPr>
            <w:r>
              <w:rPr>
                <w:rFonts w:ascii="方正黑体_GBK" w:hAnsi="方正黑体_GBK" w:cs="宋体" w:eastAsia="方正黑体_GBK"/>
                <w:sz w:val="18"/>
                <w:b/>
                <w:szCs w:val="18"/>
              </w:rPr>
              <w:t>P份额：固定管理费年化0.15%</w:t>
            </w:r>
          </w:p>
          <w:p>
            <w:pPr>
              <w:pStyle w:val="null10"/>
              <w:spacing w:lineRule="exact" w:line="200"/>
            </w:pPr>
            <w:r>
              <w:rPr>
                <w:rFonts w:ascii="方正黑体_GBK" w:hAnsi="方正黑体_GBK" w:cs="宋体" w:eastAsia="方正黑体_GBK"/>
                <w:sz w:val="18"/>
                <w:b/>
                <w:szCs w:val="18"/>
              </w:rPr>
              <w:t>A2份额：固定管理费年化0.3%</w:t>
            </w:r>
          </w:p>
          <w:p>
            <w:pPr>
              <w:pStyle w:val="null10"/>
              <w:spacing w:lineRule="exact" w:line="200"/>
            </w:pPr>
            <w:r>
              <w:rPr>
                <w:rFonts w:ascii="方正黑体_GBK" w:hAnsi="方正黑体_GBK" w:cs="宋体" w:eastAsia="方正黑体_GBK"/>
                <w:sz w:val="18"/>
                <w:b/>
                <w:szCs w:val="18"/>
              </w:rPr>
              <w:t>B2份额：固定管理费年化0.3%</w:t>
            </w:r>
          </w:p>
          <w:p>
            <w:pPr>
              <w:pStyle w:val="null10"/>
              <w:spacing w:lineRule="exact" w:line="200"/>
            </w:pPr>
            <w:r>
              <w:rPr>
                <w:rFonts w:ascii="方正黑体_GBK" w:hAnsi="方正黑体_GBK" w:cs="宋体" w:eastAsia="方正黑体_GBK"/>
                <w:sz w:val="18"/>
                <w:b/>
                <w:szCs w:val="18"/>
              </w:rPr>
              <w:t>C2份额：固定管理费年化0.25%</w:t>
            </w:r>
          </w:p>
          <w:p>
            <w:pPr>
              <w:pStyle w:val="null10"/>
              <w:spacing w:lineRule="exact" w:line="200"/>
            </w:pPr>
            <w:r>
              <w:rPr>
                <w:rFonts w:ascii="方正黑体_GBK" w:hAnsi="方正黑体_GBK" w:cs="宋体" w:eastAsia="方正黑体_GBK"/>
                <w:sz w:val="18"/>
                <w:b/>
                <w:szCs w:val="18"/>
              </w:rPr>
              <w:t>D2份额：固定管理费年化0.2%</w:t>
            </w:r>
          </w:p>
          <w:p>
            <w:pPr>
              <w:pStyle w:val="null10"/>
              <w:spacing w:lineRule="exact" w:line="200"/>
            </w:pPr>
            <w:r>
              <w:rPr>
                <w:rFonts w:ascii="方正黑体_GBK" w:hAnsi="方正黑体_GBK" w:cs="宋体" w:eastAsia="方正黑体_GBK"/>
                <w:sz w:val="18"/>
                <w:b/>
                <w:szCs w:val="18"/>
              </w:rPr>
              <w:t>E2份额：固定管理费年化0.2%</w:t>
            </w:r>
          </w:p>
          <w:p>
            <w:pPr>
              <w:pStyle w:val="null10"/>
              <w:spacing w:lineRule="exact" w:line="200"/>
            </w:pPr>
            <w:r>
              <w:rPr>
                <w:rFonts w:ascii="方正黑体_GBK" w:hAnsi="方正黑体_GBK" w:cs="宋体" w:eastAsia="方正黑体_GBK"/>
                <w:sz w:val="18"/>
                <w:b/>
                <w:szCs w:val="18"/>
              </w:rPr>
              <w:t>A3份额：固定管理费年化0.3%</w:t>
            </w:r>
          </w:p>
          <w:p>
            <w:pPr>
              <w:pStyle w:val="null10"/>
              <w:spacing w:lineRule="exact" w:line="200"/>
            </w:pPr>
            <w:r>
              <w:rPr>
                <w:rFonts w:ascii="方正黑体_GBK" w:hAnsi="方正黑体_GBK" w:cs="宋体" w:eastAsia="方正黑体_GBK"/>
                <w:sz w:val="18"/>
                <w:b/>
                <w:szCs w:val="18"/>
              </w:rPr>
              <w:t>B3份额：固定管理费年化0.3%</w:t>
            </w:r>
          </w:p>
          <w:p>
            <w:pPr>
              <w:pStyle w:val="null10"/>
              <w:spacing w:lineRule="exact" w:line="200"/>
            </w:pPr>
            <w:r>
              <w:rPr>
                <w:rFonts w:ascii="方正黑体_GBK" w:hAnsi="方正黑体_GBK" w:cs="宋体" w:eastAsia="方正黑体_GBK"/>
                <w:sz w:val="18"/>
                <w:b/>
                <w:szCs w:val="18"/>
              </w:rPr>
              <w:t>C3份额：固定管理费年化0.25%</w:t>
            </w:r>
          </w:p>
          <w:p>
            <w:pPr>
              <w:pStyle w:val="null10"/>
              <w:spacing w:lineRule="exact" w:line="200"/>
            </w:pPr>
            <w:r>
              <w:rPr>
                <w:rFonts w:ascii="方正黑体_GBK" w:hAnsi="方正黑体_GBK" w:cs="宋体" w:eastAsia="方正黑体_GBK"/>
                <w:sz w:val="18"/>
                <w:b/>
                <w:szCs w:val="18"/>
              </w:rPr>
              <w:t>D3份额：固定管理费年化0.2%</w:t>
            </w:r>
          </w:p>
          <w:p>
            <w:pPr>
              <w:pStyle w:val="null10"/>
              <w:spacing w:lineRule="exact" w:line="200"/>
            </w:pPr>
            <w:r>
              <w:rPr>
                <w:rFonts w:ascii="方正黑体_GBK" w:hAnsi="方正黑体_GBK" w:cs="宋体" w:eastAsia="方正黑体_GBK"/>
                <w:sz w:val="18"/>
                <w:b/>
                <w:szCs w:val="18"/>
              </w:rPr>
              <w:t>E3份额：固定管理费年化0.2%</w:t>
            </w:r>
          </w:p>
          <w:p>
            <w:pPr>
              <w:pStyle w:val="null10"/>
              <w:spacing w:lineRule="exact" w:line="200"/>
            </w:pPr>
            <w:r>
              <w:rPr>
                <w:rFonts w:ascii="方正黑体_GBK" w:hAnsi="方正黑体_GBK" w:cs="宋体" w:eastAsia="方正黑体_GBK"/>
                <w:sz w:val="18"/>
                <w:b/>
                <w:szCs w:val="18"/>
              </w:rPr>
              <w:t>A4份额：固定管理费年化0.3%</w:t>
            </w:r>
          </w:p>
          <w:p>
            <w:pPr>
              <w:pStyle w:val="null10"/>
              <w:spacing w:lineRule="exact" w:line="200"/>
            </w:pPr>
            <w:r>
              <w:rPr>
                <w:rFonts w:ascii="方正黑体_GBK" w:hAnsi="方正黑体_GBK" w:cs="宋体" w:eastAsia="方正黑体_GBK"/>
                <w:sz w:val="18"/>
                <w:b/>
                <w:szCs w:val="18"/>
              </w:rPr>
              <w:t>B4份额：固定管理费年化0.3%</w:t>
            </w:r>
          </w:p>
          <w:p>
            <w:pPr>
              <w:pStyle w:val="null10"/>
              <w:spacing w:lineRule="exact" w:line="200"/>
            </w:pPr>
            <w:r>
              <w:rPr>
                <w:rFonts w:ascii="方正黑体_GBK" w:hAnsi="方正黑体_GBK" w:cs="宋体" w:eastAsia="方正黑体_GBK"/>
                <w:sz w:val="18"/>
                <w:b/>
                <w:szCs w:val="18"/>
              </w:rPr>
              <w:t>C4份额：固定管理费年化0.25%</w:t>
            </w:r>
          </w:p>
          <w:p>
            <w:pPr>
              <w:pStyle w:val="null10"/>
              <w:spacing w:lineRule="exact" w:line="200"/>
            </w:pPr>
            <w:r>
              <w:rPr>
                <w:rFonts w:ascii="方正黑体_GBK" w:hAnsi="方正黑体_GBK" w:cs="宋体" w:eastAsia="方正黑体_GBK"/>
                <w:sz w:val="18"/>
                <w:b/>
                <w:szCs w:val="18"/>
              </w:rPr>
              <w:t>D4份额：固定管理费年化0.2%</w:t>
            </w:r>
          </w:p>
          <w:p>
            <w:pPr>
              <w:pStyle w:val="null10"/>
              <w:spacing w:lineRule="exact" w:line="200"/>
            </w:pPr>
            <w:r>
              <w:rPr>
                <w:rFonts w:ascii="方正黑体_GBK" w:hAnsi="方正黑体_GBK" w:cs="宋体" w:eastAsia="方正黑体_GBK"/>
                <w:sz w:val="18"/>
                <w:b/>
                <w:szCs w:val="18"/>
              </w:rPr>
              <w:t>E4份额：固定管理费年化0.2%</w:t>
            </w:r>
          </w:p>
          <w:p>
            <w:pPr>
              <w:pStyle w:val="null10"/>
              <w:spacing w:lineRule="exact" w:line="200"/>
            </w:pPr>
            <w:r>
              <w:rPr>
                <w:rFonts w:ascii="方正黑体_GBK" w:hAnsi="方正黑体_GBK" w:cs="宋体" w:eastAsia="方正黑体_GBK"/>
                <w:sz w:val="18"/>
                <w:b/>
                <w:szCs w:val="18"/>
              </w:rPr>
              <w:t>F2份额：固定管理费年化0.2%</w:t>
            </w:r>
          </w:p>
          <w:p>
            <w:pPr>
              <w:pStyle w:val="null10"/>
              <w:spacing w:lineRule="exact" w:line="200"/>
            </w:pPr>
            <w:r>
              <w:rPr>
                <w:rFonts w:ascii="方正黑体_GBK" w:hAnsi="方正黑体_GBK" w:cs="宋体" w:eastAsia="方正黑体_GBK"/>
                <w:sz w:val="18"/>
                <w:b/>
                <w:szCs w:val="18"/>
              </w:rPr>
              <w:t>F3份额：固定管理费年化0.2%</w:t>
            </w:r>
          </w:p>
          <w:p>
            <w:pPr>
              <w:pStyle w:val="null10"/>
              <w:spacing w:lineRule="exact" w:line="200"/>
            </w:pPr>
            <w:r>
              <w:rPr>
                <w:rFonts w:ascii="方正黑体_GBK" w:hAnsi="方正黑体_GBK" w:cs="宋体" w:eastAsia="方正黑体_GBK"/>
                <w:sz w:val="18"/>
                <w:b/>
                <w:szCs w:val="18"/>
              </w:rPr>
              <w:t>G2份额：固定管理费年化0.2%</w:t>
            </w:r>
          </w:p>
          <w:p>
            <w:pPr>
              <w:pStyle w:val="null10"/>
              <w:spacing w:lineRule="exact" w:line="200"/>
            </w:pPr>
            <w:r>
              <w:rPr>
                <w:rFonts w:ascii="方正黑体_GBK" w:hAnsi="方正黑体_GBK" w:cs="宋体" w:eastAsia="方正黑体_GBK"/>
                <w:sz w:val="18"/>
                <w:b/>
                <w:szCs w:val="18"/>
              </w:rPr>
              <w:t>G3份额：固定管理费年化0.2%</w:t>
            </w:r>
          </w:p>
          <w:p>
            <w:pPr>
              <w:pStyle w:val="null10"/>
              <w:spacing w:lineRule="exact" w:line="200"/>
            </w:pPr>
            <w:r>
              <w:rPr>
                <w:rFonts w:ascii="方正黑体_GBK" w:hAnsi="方正黑体_GBK" w:cs="宋体" w:eastAsia="方正黑体_GBK"/>
                <w:sz w:val="18"/>
                <w:b/>
                <w:szCs w:val="18"/>
              </w:rPr>
              <w:t>F4份额：固定管理费年化0.2%</w:t>
            </w:r>
          </w:p>
          <w:p>
            <w:pPr>
              <w:pStyle w:val="null10"/>
              <w:spacing w:lineRule="exact" w:line="200"/>
            </w:pPr>
            <w:r>
              <w:rPr>
                <w:rFonts w:ascii="方正黑体_GBK" w:hAnsi="方正黑体_GBK" w:cs="宋体" w:eastAsia="方正黑体_GBK"/>
                <w:sz w:val="18"/>
                <w:b/>
                <w:szCs w:val="18"/>
              </w:rPr>
              <w:t>G4份额：固定管理费年化0.2%</w:t>
            </w:r>
          </w:p>
          <w:p>
            <w:pPr>
              <w:pStyle w:val="null10"/>
              <w:spacing w:lineRule="exact" w:line="200"/>
            </w:pPr>
            <w:r>
              <w:rPr>
                <w:rFonts w:ascii="方正黑体_GBK" w:hAnsi="方正黑体_GBK" w:cs="宋体" w:eastAsia="方正黑体_GBK"/>
                <w:sz w:val="18"/>
                <w:b/>
                <w:szCs w:val="18"/>
              </w:rPr>
              <w:t>H2份额：固定管理费年化0.2%</w:t>
            </w:r>
          </w:p>
          <w:p>
            <w:pPr>
              <w:pStyle w:val="null10"/>
              <w:spacing w:lineRule="exact" w:line="200"/>
            </w:pPr>
            <w:r>
              <w:rPr>
                <w:rFonts w:ascii="方正黑体_GBK" w:hAnsi="方正黑体_GBK" w:cs="宋体" w:eastAsia="方正黑体_GBK"/>
                <w:sz w:val="18"/>
                <w:b/>
                <w:szCs w:val="18"/>
              </w:rPr>
              <w:t>J2份额：固定管理费年化0.2%</w:t>
            </w:r>
          </w:p>
          <w:p>
            <w:pPr>
              <w:pStyle w:val="null10"/>
              <w:spacing w:lineRule="exact" w:line="200"/>
            </w:pPr>
            <w:r>
              <w:rPr>
                <w:rFonts w:ascii="方正黑体_GBK" w:hAnsi="方正黑体_GBK" w:cs="宋体" w:eastAsia="方正黑体_GBK"/>
                <w:sz w:val="18"/>
                <w:b/>
                <w:szCs w:val="18"/>
              </w:rPr>
              <w:t>K2份额：固定管理费年化0.2%</w:t>
            </w:r>
          </w:p>
          <w:p>
            <w:pPr>
              <w:pStyle w:val="null10"/>
              <w:spacing w:lineRule="exact" w:line="200"/>
            </w:pPr>
            <w:r>
              <w:rPr>
                <w:rFonts w:ascii="方正黑体_GBK" w:hAnsi="方正黑体_GBK" w:cs="宋体" w:eastAsia="方正黑体_GBK"/>
                <w:sz w:val="18"/>
                <w:b/>
                <w:szCs w:val="18"/>
              </w:rPr>
              <w:t>J3份额：固定管理费年化0.2%</w:t>
            </w:r>
          </w:p>
          <w:p>
            <w:pPr>
              <w:pStyle w:val="null10"/>
              <w:spacing w:lineRule="exact" w:line="200"/>
            </w:pPr>
            <w:r>
              <w:rPr>
                <w:rFonts w:ascii="方正黑体_GBK" w:hAnsi="方正黑体_GBK" w:cs="宋体" w:eastAsia="方正黑体_GBK"/>
                <w:sz w:val="18"/>
                <w:b/>
                <w:szCs w:val="18"/>
              </w:rPr>
              <w:t>K3份额：固定管理费年化0.2%</w:t>
            </w:r>
          </w:p>
          <w:p>
            <w:pPr>
              <w:pStyle w:val="null10"/>
              <w:spacing w:lineRule="exact" w:line="200"/>
            </w:pPr>
            <w:r>
              <w:rPr>
                <w:rFonts w:ascii="方正黑体_GBK" w:hAnsi="方正黑体_GBK" w:cs="宋体" w:eastAsia="方正黑体_GBK"/>
                <w:sz w:val="18"/>
                <w:b/>
                <w:szCs w:val="18"/>
              </w:rPr>
              <w:t>J4份额：固定管理费年化0.2%</w:t>
            </w:r>
          </w:p>
          <w:p>
            <w:pPr>
              <w:pStyle w:val="null10"/>
              <w:spacing w:lineRule="exact" w:line="200"/>
            </w:pPr>
            <w:r>
              <w:rPr>
                <w:rFonts w:ascii="方正黑体_GBK" w:hAnsi="方正黑体_GBK" w:cs="宋体" w:eastAsia="方正黑体_GBK"/>
                <w:sz w:val="18"/>
                <w:b/>
                <w:szCs w:val="18"/>
              </w:rPr>
              <w:t>K4份额：固定管理费年化0.2%</w:t>
            </w:r>
          </w:p>
          <w:p>
            <w:pPr>
              <w:pStyle w:val="null10"/>
              <w:spacing w:lineRule="exact" w:line="200"/>
            </w:pPr>
            <w:r>
              <w:rPr>
                <w:rFonts w:ascii="方正黑体_GBK" w:hAnsi="方正黑体_GBK" w:cs="宋体" w:eastAsia="方正黑体_GBK"/>
                <w:sz w:val="18"/>
                <w:b/>
                <w:szCs w:val="18"/>
              </w:rPr>
              <w:t>L4份额：固定管理费年化0.2%</w:t>
            </w:r>
          </w:p>
          <w:p>
            <w:pPr>
              <w:pStyle w:val="null10"/>
              <w:spacing w:lineRule="exact" w:line="200"/>
            </w:pPr>
            <w:r>
              <w:rPr>
                <w:rFonts w:ascii="方正黑体_GBK" w:hAnsi="方正黑体_GBK" w:cs="宋体" w:eastAsia="方正黑体_GBK"/>
                <w:sz w:val="18"/>
                <w:b/>
                <w:szCs w:val="18"/>
              </w:rPr>
              <w:t>M2份额：固定管理费年化0.3%</w:t>
            </w:r>
          </w:p>
          <w:p>
            <w:pPr>
              <w:pStyle w:val="null10"/>
              <w:spacing w:lineRule="exact" w:line="200"/>
            </w:pPr>
            <w:r>
              <w:rPr>
                <w:rFonts w:ascii="方正黑体_GBK" w:hAnsi="方正黑体_GBK" w:cs="宋体" w:eastAsia="方正黑体_GBK"/>
                <w:sz w:val="18"/>
                <w:b/>
                <w:szCs w:val="18"/>
              </w:rPr>
              <w:t>M3份额：固定管理费年化0.3%</w:t>
            </w:r>
          </w:p>
          <w:p>
            <w:pPr>
              <w:pStyle w:val="null10"/>
              <w:spacing w:lineRule="exact" w:line="200"/>
            </w:pPr>
            <w:r>
              <w:rPr>
                <w:rFonts w:ascii="方正黑体_GBK" w:hAnsi="方正黑体_GBK" w:cs="宋体" w:eastAsia="方正黑体_GBK"/>
                <w:sz w:val="18"/>
                <w:b/>
                <w:szCs w:val="18"/>
              </w:rPr>
              <w:t>M4份额：固定管理费年化0.3%</w:t>
            </w:r>
          </w:p>
          <w:p>
            <w:pPr>
              <w:pStyle w:val="null10"/>
              <w:spacing w:lineRule="exact" w:line="200"/>
            </w:pPr>
            <w:r>
              <w:rPr>
                <w:rFonts w:ascii="方正黑体_GBK" w:hAnsi="方正黑体_GBK" w:cs="宋体" w:eastAsia="方正黑体_GBK"/>
                <w:sz w:val="18"/>
                <w:b/>
                <w:szCs w:val="18"/>
              </w:rPr>
              <w:t>O2份额：固定管理费年化0.15%</w:t>
            </w:r>
          </w:p>
          <w:p>
            <w:pPr>
              <w:pStyle w:val="null10"/>
              <w:spacing w:lineRule="exact" w:line="200"/>
            </w:pPr>
            <w:r>
              <w:rPr>
                <w:rFonts w:ascii="方正黑体_GBK" w:hAnsi="方正黑体_GBK" w:cs="宋体" w:eastAsia="方正黑体_GBK"/>
                <w:sz w:val="18"/>
                <w:b/>
                <w:szCs w:val="18"/>
              </w:rPr>
              <w:t>P2份额：固定管理费年化0.15%</w:t>
            </w:r>
          </w:p>
          <w:p>
            <w:pPr>
              <w:pStyle w:val="null10"/>
              <w:spacing w:lineRule="exact" w:line="200"/>
            </w:pPr>
            <w:r>
              <w:rPr>
                <w:rFonts w:ascii="方正黑体_GBK" w:hAnsi="方正黑体_GBK" w:cs="宋体" w:eastAsia="方正黑体_GBK"/>
                <w:sz w:val="18"/>
                <w:b/>
                <w:szCs w:val="18"/>
              </w:rPr>
              <w:t>O3份额：固定管理费年化0.15%</w:t>
            </w:r>
          </w:p>
          <w:p>
            <w:pPr>
              <w:pStyle w:val="null10"/>
              <w:spacing w:lineRule="exact" w:line="200"/>
            </w:pPr>
            <w:r>
              <w:rPr>
                <w:rFonts w:ascii="方正黑体_GBK" w:hAnsi="方正黑体_GBK" w:cs="宋体" w:eastAsia="方正黑体_GBK"/>
                <w:sz w:val="18"/>
                <w:b/>
                <w:szCs w:val="18"/>
              </w:rPr>
              <w:t>P3份额：固定管理费年化0.15%</w:t>
            </w:r>
          </w:p>
          <w:p>
            <w:pPr>
              <w:pStyle w:val="null10"/>
              <w:spacing w:lineRule="exact" w:line="200"/>
            </w:pPr>
            <w:r>
              <w:rPr>
                <w:rFonts w:ascii="方正黑体_GBK" w:hAnsi="方正黑体_GBK" w:cs="宋体" w:eastAsia="方正黑体_GBK"/>
                <w:sz w:val="18"/>
                <w:b/>
                <w:szCs w:val="18"/>
              </w:rPr>
              <w:t>O4份额：固定管理费年化0.15%</w:t>
            </w:r>
          </w:p>
          <w:p>
            <w:pPr>
              <w:pStyle w:val="null10"/>
              <w:spacing w:lineRule="exact" w:line="200"/>
            </w:pPr>
            <w:r>
              <w:rPr>
                <w:rFonts w:ascii="方正黑体_GBK" w:hAnsi="方正黑体_GBK" w:cs="宋体" w:eastAsia="方正黑体_GBK"/>
                <w:sz w:val="18"/>
                <w:b/>
                <w:szCs w:val="18"/>
              </w:rPr>
              <w:t>P4份额：固定管理费年化0.15%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申购/赎回确认日和产品实际到期时，当期产品投资的实际资产组合收益（扣除销售费、固定管理费、托管费等相关费用）超过3.15%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申购/赎回确认日和产品实际到期时，当期产品投资的实际资产组合收益（扣除销售费、固定管理费、托管费等相关费用）超过3.25%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申购/赎回确认日和产品实际到期时，当期产品投资的实际资产组合收益（扣除销售费、固定管理费、托管费等相关费用）超过3.2%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I份额：申购/赎回确认日和产品实际到期时，当期产品投资的实际资产组合收益（扣除销售费、固定管理费、托管费等相关费用）超过3.35%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N份额：申购/赎回确认日和产品实际到期时，当期产品投资的实际资产组合收益（扣除销售费、固定管理费、托管费等相关费用）超过3.3%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O份额：申购/赎回确认日和产品实际到期时，当期产品投资的实际资产组合收益（扣除销售费、固定管理费、托管费等相关费用）超过3.15%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份额：申购/赎回确认日和产品实际到期时，当期产品投资的实际资产组合收益（扣除销售费、固定管理费、托管费等相关费用）超过3.2%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A2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2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2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2份额：申购/赎回确认日和产品实际到期时，当期产品投资的实际资产组合收益（扣除销售费、固定管理费、托管费等相关费用）超过3.15%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2份额：申购/赎回确认日和产品实际到期时，当期产品投资的实际资产组合收益（扣除销售费、固定管理费、托管费等相关费用）超过3.25%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A3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3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3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3份额：申购/赎回确认日和产品实际到期时，当期产品投资的实际资产组合收益（扣除销售费、固定管理费、托管费等相关费用）超过3.15%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3份额：申购/赎回确认日和产品实际到期时，当期产品投资的实际资产组合收益（扣除销售费、固定管理费、托管费等相关费用）超过3.25%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A4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4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4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4份额：申购/赎回确认日和产品实际到期时，当期产品投资的实际资产组合收益（扣除销售费、固定管理费、托管费等相关费用）超过3.15%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4份额：申购/赎回确认日和产品实际到期时，当期产品投资的实际资产组合收益（扣除销售费、固定管理费、托管费等相关费用）超过3.25%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2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3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2份额：申购/赎回确认日和产品实际到期时，当期产品投资的实际资产组合收益（扣除销售费、固定管理费、托管费等相关费用）超过3.2%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3份额：申购/赎回确认日和产品实际到期时，当期产品投资的实际资产组合收益（扣除销售费、固定管理费、托管费等相关费用）超过3.2%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4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4份额：申购/赎回确认日和产品实际到期时，当期产品投资的实际资产组合收益（扣除销售费、固定管理费、托管费等相关费用）超过3.2%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2份额：申购/赎回确认日和产品实际到期时，当期产品投资的实际资产组合收益（扣除销售费、固定管理费、托管费等相关费用）超过3.2%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2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2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3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3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4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4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4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2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3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4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O2份额：申购/赎回确认日和产品实际到期时，当期产品投资的实际资产组合收益（扣除销售费、固定管理费、托管费等相关费用）超过3.15%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2份额：申购/赎回确认日和产品实际到期时，当期产品投资的实际资产组合收益（扣除销售费、固定管理费、托管费等相关费用）超过3.2%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O3份额：申购/赎回确认日和产品实际到期时，当期产品投资的实际资产组合收益（扣除销售费、固定管理费、托管费等相关费用）超过3.15%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3份额：申购/赎回确认日和产品实际到期时，当期产品投资的实际资产组合收益（扣除销售费、固定管理费、托管费等相关费用）超过3.2%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O4份额：申购/赎回确认日和产品实际到期时，当期产品投资的实际资产组合收益（扣除销售费、固定管理费、托管费等相关费用）超过3.15%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4份额：申购/赎回确认日和产品实际到期时，当期产品投资的实际资产组合收益（扣除销售费、固定管理费、托管费等相关费用）超过3.2%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具体参见本理财产品风险揭示书。</w:t>
            </w:r>
          </w:p>
          <w:p>
            <w:pPr>
              <w:pStyle w:val="null10"/>
              <w:spacing w:lineRule="exact" w:line="200"/>
              <w:jc w:val="left"/>
            </w:pPr>
            <w:r>
              <w:rPr>
                <w:rFonts w:ascii="方正黑体_GBK" w:hAnsi="方正黑体_GBK" w:cs="宋体" w:eastAsia="方正黑体_GBK"/>
                <w:sz w:val="18"/>
                <w:color w:val="000000"/>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pStyle w:val="null10"/>
              <w:spacing w:lineRule="exact" w:line="200"/>
              <w:jc w:val="left"/>
            </w:pPr>
            <w:r>
              <w:rPr>
                <w:rFonts w:ascii="方正黑体_GBK" w:hAnsi="方正黑体_GBK" w:cs="宋体" w:eastAsia="方正黑体_GBK"/>
                <w:sz w:val="18"/>
                <w:color w:val="000000"/>
                <w:szCs w:val="18"/>
              </w:rPr>
              <w:t>一是建仓或进行组合调整时，若投资资产包括债券或基金，可能由于特定债券或基金的流动性相对不足而无法按预期的价格买进（申购）或卖出（赎回）；</w:t>
            </w:r>
          </w:p>
          <w:p>
            <w:pPr>
              <w:pStyle w:val="null10"/>
              <w:spacing w:lineRule="exact" w:line="200"/>
              <w:jc w:val="left"/>
            </w:pPr>
            <w:r>
              <w:rPr>
                <w:rFonts w:ascii="方正黑体_GBK" w:hAnsi="方正黑体_GBK" w:cs="宋体" w:eastAsia="方正黑体_GBK"/>
                <w:sz w:val="18"/>
                <w:color w:val="000000"/>
                <w:szCs w:val="18"/>
              </w:rPr>
              <w:t>二是为应对投资者的赎回，被迫以不适当的价格卖出债券或赎回基金；</w:t>
            </w:r>
          </w:p>
          <w:p>
            <w:pPr>
              <w:pStyle w:val="null10"/>
              <w:spacing w:lineRule="exact" w:line="200"/>
              <w:jc w:val="left"/>
            </w:pPr>
            <w:r>
              <w:rPr>
                <w:rFonts w:ascii="方正黑体_GBK" w:hAnsi="方正黑体_GBK" w:cs="宋体" w:eastAsia="方正黑体_GBK"/>
                <w:sz w:val="18"/>
                <w:color w:val="000000"/>
                <w:szCs w:val="18"/>
              </w:rPr>
              <w:t>三是若投资资产包括非标准化债权类资产，可能由于资产缺少流动性而难以变现。</w:t>
            </w:r>
          </w:p>
          <w:p>
            <w:pPr>
              <w:pStyle w:val="null10"/>
              <w:spacing w:lineRule="exact" w:line="200"/>
              <w:jc w:val="left"/>
            </w:pPr>
            <w:r>
              <w:rPr>
                <w:rFonts w:ascii="方正黑体_GBK" w:hAnsi="方正黑体_GBK" w:cs="宋体" w:eastAsia="方正黑体_GBK"/>
                <w:sz w:val="18"/>
                <w:color w:val="000000"/>
                <w:szCs w:val="18"/>
              </w:rPr>
              <w:t>以上情形均可能使产品净值受到不利影响。</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嘉兴银行股份有限公司、江苏常熟农村商业银行股份有限公司、江苏苏州农村商业银行股份有限公司、秦皇岛银行股份有限公司、齐鲁银行股份有限公司、贵阳银行股份有限公司、深圳前海微众银行股份有限公司、云南红塔银行股份有限公司、中原银行股份有限公司、九江银行股份有限公司、天津农村商业银行股份有限公司、江苏紫金农村商业银行股份有限公司、苏州银行股份有限公司、桂林银行股份有限公司、中信百信银行股份有限公司、宁波通商银行股份有限公司、日照银行股份有限公司、石嘴山银行股份有限公司、无锡锡商银行股份有限公司、江苏丹阳农村商业银行股份有限公司、江苏靖江农村商业银行股份有限公司、江苏民丰农村商业银行股份有限公司、江苏建湖农村商业银行股份有限公司、江苏南通农村商业银行股份有限公司、江苏扬州农村商业银行股份有限公司、江苏大丰农村商业银行股份有限公司、江苏镇江农村商业银行股份有限公司、江苏如皋农村商业银行股份有限公司、徐州农村商业银行股份有限公司、江苏苏商银行股份有限公司、江苏丰县农村商业银行股份有限公司、江苏句容农村商业银行股份有限公司、江苏江阴农村商业银行股份有限公司、乌鲁木齐银行股份有限公司、河北银行股份有限公司、江苏沛县农村商业银行股份有限公司、交通银行股份有限公司、甘肃银行股份有限公司、江苏仪征农村商业银行股份有限公司、成都银行股份有限公司、广发银行股份有限公司、江苏沭阳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重庆国际信托股份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广东粤财信托有限公司成立于1985年03月07日，注册资本金380000万元。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重庆国际信托股份有限公司成立于1984年10月22日，注册资本金150亿元。</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pPr>
              <w:pStyle w:val="null10"/>
              <w:spacing w:lineRule="exact" w:line="200"/>
              <w:jc w:val="left"/>
            </w:pPr>
            <w:r>
              <w:rPr>
                <w:rFonts w:ascii="方正黑体_GBK" w:hAnsi="方正黑体_GBK" w:cs="宋体" w:eastAsia="方正黑体_GBK"/>
                <w:sz w:val="18"/>
                <w:color w:val="000000"/>
                <w:szCs w:val="18"/>
              </w:rPr>
              <w:t>1.接受全额赎回：当管理人认为有能力兑付投资者的全部赎回申请时，将在赎回确认日按正常赎回程序执行；</w:t>
            </w:r>
          </w:p>
          <w:p>
            <w:pPr>
              <w:pStyle w:val="null10"/>
              <w:spacing w:lineRule="exact" w:line="200"/>
              <w:jc w:val="left"/>
            </w:pPr>
            <w:r>
              <w:rPr>
                <w:rFonts w:ascii="方正黑体_GBK" w:hAnsi="方正黑体_GBK" w:cs="宋体" w:eastAsia="方正黑体_GBK"/>
                <w:sz w:val="18"/>
                <w:color w:val="000000"/>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pPr>
              <w:pStyle w:val="null10"/>
              <w:spacing w:lineRule="exact" w:line="200"/>
              <w:jc w:val="left"/>
            </w:pPr>
            <w:r>
              <w:rPr>
                <w:rFonts w:ascii="方正黑体_GBK" w:hAnsi="方正黑体_GBK" w:cs="宋体" w:eastAsia="方正黑体_GBK"/>
                <w:sz w:val="18"/>
                <w:color w:val="000000"/>
                <w:szCs w:val="18"/>
              </w:rPr>
              <w:t>（1）对于接受赎回申请的部分，管理人将按单个投资者的赎回申请份额占当日所有投资者的净赎回申请总份额的比例，确认该投资者当日办理的赎回申请份额。</w:t>
            </w:r>
          </w:p>
          <w:p>
            <w:pPr>
              <w:pStyle w:val="null10"/>
              <w:spacing w:lineRule="exact" w:line="200"/>
              <w:jc w:val="left"/>
            </w:pPr>
            <w:r>
              <w:rPr>
                <w:rFonts w:ascii="方正黑体_GBK" w:hAnsi="方正黑体_GBK" w:cs="宋体" w:eastAsia="方正黑体_GBK"/>
                <w:sz w:val="18"/>
                <w:color w:val="000000"/>
                <w:szCs w:val="18"/>
              </w:rPr>
              <w:t>（2）对于暂停接受的部分，管理人将拒绝该部分赎回申请，投资者可在下一个产品开放日再次发起赎回申请。</w:t>
            </w:r>
          </w:p>
          <w:p>
            <w:pPr>
              <w:pStyle w:val="null10"/>
              <w:spacing w:lineRule="exact" w:line="200"/>
              <w:jc w:val="left"/>
            </w:pPr>
            <w:r>
              <w:rPr>
                <w:rFonts w:ascii="方正黑体_GBK" w:hAnsi="方正黑体_GBK" w:cs="宋体" w:eastAsia="方正黑体_GBK"/>
                <w:sz w:val="18"/>
                <w:color w:val="000000"/>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发生下列情形时，管理人可暂停接受投资者认申购申请：</w:t>
            </w:r>
          </w:p>
          <w:p>
            <w:pPr>
              <w:pStyle w:val="null10"/>
              <w:spacing w:lineRule="exact" w:line="200"/>
            </w:pPr>
            <w:r>
              <w:rPr>
                <w:rFonts w:ascii="方正黑体_GBK" w:hAnsi="方正黑体_GBK" w:cs="宋体" w:eastAsia="方正黑体_GBK"/>
                <w:sz w:val="18"/>
                <w:szCs w:val="18"/>
              </w:rPr>
              <w:t>1.因不可抗力导致理财产品无法正常运作；</w:t>
            </w:r>
          </w:p>
          <w:p>
            <w:pPr>
              <w:pStyle w:val="null10"/>
              <w:spacing w:lineRule="exact" w:line="200"/>
            </w:pPr>
            <w:r>
              <w:rPr>
                <w:rFonts w:ascii="方正黑体_GBK" w:hAnsi="方正黑体_GBK" w:cs="宋体" w:eastAsia="方正黑体_GBK"/>
                <w:sz w:val="18"/>
                <w:szCs w:val="18"/>
              </w:rPr>
              <w:t>2.因监管政策、市场发生重大变化，导致理财产品无法正常运作；</w:t>
            </w:r>
          </w:p>
          <w:p>
            <w:pPr>
              <w:pStyle w:val="null10"/>
              <w:spacing w:lineRule="exact" w:line="200"/>
            </w:pPr>
            <w:r>
              <w:rPr>
                <w:rFonts w:ascii="方正黑体_GBK" w:hAnsi="方正黑体_GBK" w:cs="宋体" w:eastAsia="方正黑体_GBK"/>
                <w:sz w:val="18"/>
                <w:szCs w:val="18"/>
              </w:rPr>
              <w:t>3.管理人认为需要暂停认申购的其他情形。</w:t>
            </w:r>
          </w:p>
          <w:p>
            <w:pPr>
              <w:pStyle w:val="null10"/>
              <w:spacing w:lineRule="exact" w:line="200"/>
            </w:pPr>
            <w:r>
              <w:rPr>
                <w:rFonts w:ascii="方正黑体_GBK" w:hAnsi="方正黑体_GBK" w:cs="宋体" w:eastAsia="方正黑体_GBK"/>
                <w:sz w:val="18"/>
                <w:b/>
                <w:szCs w:val="18"/>
              </w:rPr>
              <w:t>若管理人暂停接受认申购申请，将在3个交易日内告知该理财产品的投资者，并说明运用相关措施的原因、拟采取的应对安排等。在暂停接受认申购申请期间，投资者需重新进行资金安排。</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当本理财产品的当期赎回量超过上期理财产品规模的20%时，管理人有权暂停接受投资者的赎回申请，已经接受的赎回申请管理人有权延缓支付赎回款项，延缓期限不超过20个工作日。</w:t>
            </w:r>
          </w:p>
          <w:p>
            <w:pPr>
              <w:pStyle w:val="null10"/>
              <w:spacing w:lineRule="exact" w:line="200"/>
            </w:pPr>
            <w:r>
              <w:rPr>
                <w:rFonts w:ascii="方正黑体_GBK" w:hAnsi="方正黑体_GBK" w:cs="宋体" w:eastAsia="方正黑体_GBK"/>
                <w:sz w:val="18"/>
                <w:b/>
                <w:szCs w:val="18"/>
              </w:rPr>
              <w:t>如发生以上暂停的情况，管理人将在3个交易日内告知投资者，并说明运用相关措施的原因、拟采取的应对安排等，投资者需重新进行资金安排。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1.本理财产品开放日内非操作时间不能进行申购/赎回申请，封闭期内不开放申购/赎回申请。</w:t>
            </w:r>
          </w:p>
          <w:p>
            <w:pPr>
              <w:pStyle w:val="null10"/>
              <w:spacing w:lineRule="exact" w:line="200"/>
              <w:jc w:val="left"/>
            </w:pPr>
            <w:r>
              <w:rPr>
                <w:rFonts w:ascii="方正黑体_GBK" w:hAnsi="方正黑体_GBK" w:cs="宋体" w:eastAsia="方正黑体_GBK"/>
                <w:sz w:val="18"/>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b/>
                <w:szCs w:val="18"/>
              </w:rPr>
              <w:t>3.本理财产品投资的资产管理产品的业绩报酬、赎回费等的提取（如有）可能造成本理财产品净值的下降。</w:t>
            </w:r>
          </w:p>
          <w:p>
            <w:pPr>
              <w:pStyle w:val="null10"/>
              <w:spacing w:lineRule="exact" w:line="200"/>
            </w:pPr>
            <w:r>
              <w:rPr>
                <w:rFonts w:ascii="方正黑体_GBK" w:hAnsi="方正黑体_GBK" w:cs="宋体" w:eastAsia="方正黑体_GBK"/>
                <w:sz w:val="18"/>
                <w:b/>
                <w:szCs w:val="18"/>
              </w:rPr>
              <w:t>4.本理财产品可能投资不存在活跃交易市场且需要采用估值技术确定公允价值的资产，且计划投资前述资产的比例达到本理财产品净资产50%以上（“以上”含本数）。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a2536bce"/>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f90b4d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f90b4d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f90b4d1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f90b4d1e"/>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f90b4d1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f90b4d1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f90b4d1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f90b4d1e"/>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南银理财珠联璧合安稳1907一年定开公募人民币理财产品</w:t>
      </w:r>
      <w:r>
        <w:rPr>
          <w:rFonts w:ascii="方正黑体_GBK" w:eastAsia="方正黑体_GBK" w:hint="eastAsia" w:hAnsi="方正黑体_GBK"/>
          <w:vanish w:val="0"/>
          <w:color w:val="3D3D3D"/>
          <w:kern w:val="0"/>
          <w:sz w:val="15"/>
          <w:szCs w:val="15"/>
        </w:rPr>
        <w:t>。</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f90b4d1e"/>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f90b4d1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f90b4d1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f90b4d1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b41618f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b41618f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b41618f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b41618f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b41618f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b41618f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f90b4d1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f90b4d1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f90b4d1e"/>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假设：投资者认购本理财产品10万元，成立日当日产品净值为1.0000元，折算份额100,000份。</w:t>
      </w:r>
    </w:p>
    <w:p>
      <w:pPr>
        <w:pStyle w:val="null10"/>
        <w:spacing w:lineRule="exact" w:line="200"/>
        <w:ind w:firstLine="280"/>
        <w:jc w:val="left"/>
      </w:pPr>
      <w:r>
        <w:rPr>
          <w:rFonts w:ascii="方正黑体_GBK" w:hAnsi="方正黑体_GBK" w:cs="宋体" w:eastAsia="方正黑体_GBK"/>
          <w:sz w:val="15"/>
          <w:szCs w:val="20"/>
        </w:rPr>
        <w:t>情景示例一：产品赎回确认时，扣除所有税费后（如有业绩报酬，已扣除）的赎回确认每份额净值为1.0300，则客户在资金到帐日收到到期款项为103,000元。</w:t>
      </w:r>
    </w:p>
    <w:p>
      <w:pPr>
        <w:pStyle w:val="null10"/>
        <w:spacing w:lineRule="exact" w:line="200"/>
        <w:ind w:firstLine="280"/>
        <w:jc w:val="left"/>
      </w:pPr>
      <w:r>
        <w:rPr>
          <w:rFonts w:ascii="方正黑体_GBK" w:hAnsi="方正黑体_GBK" w:cs="宋体" w:eastAsia="方正黑体_GBK"/>
          <w:sz w:val="15"/>
          <w:szCs w:val="20"/>
        </w:rPr>
        <w:t>情景示例二：产品赎回确认时，扣除所有税费后（如有业绩报酬，已扣除）的赎回确认每份额净值为0.9700，则客户在资金到帐日收到到期款项为97,000元。</w:t>
      </w:r>
    </w:p>
    <w:p>
      <w:pPr>
        <w:pStyle w:val="null10"/>
        <w:spacing w:lineRule="exact" w:line="200"/>
      </w:pPr>
      <w:r>
        <w:rPr>
          <w:rFonts w:ascii="方正黑体_GBK" w:hAnsi="方正黑体_GBK" w:cs="宋体" w:eastAsia="方正黑体_GBK"/>
          <w:sz w:val="15"/>
          <w:szCs w:val="20"/>
        </w:rPr>
        <w:t xml:space="preserve"> 以上数据为假设情形中的模拟数据，不代表实际收益，投资须谨慎。</w:t>
      </w: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b41618fe"/>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a2536bce"/>
        <w:keepNext w:val="0"/>
        <w:keepLines w:val="0"/>
        <w:pageBreakBefore w:val="0"/>
        <w:widowControl/>
        <w:suppressLineNumbers w:val="0"/>
        <w:suppressAutoHyphens w:val="0"/>
        <w:spacing w:line="200" w:lineRule="exact"/>
        <w:ind w:firstLineChars="200" w:firstLine="300"/>
        <w:rPr>
          <w:rStyle w:val="b41618fe"/>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280"/>
        <w:jc w:val="left"/>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280"/>
        <w:jc w:val="left"/>
      </w:pPr>
      <w:r>
        <w:rPr>
          <w:rFonts w:ascii="方正黑体_GBK" w:hAnsi="方正黑体_GBK" w:cs="宋体" w:eastAsia="方正黑体_GBK"/>
          <w:sz w:val="15"/>
          <w:szCs w:val="20"/>
        </w:rPr>
        <w:t>1.银行存款、回购等货币市场工具</w:t>
      </w:r>
    </w:p>
    <w:p>
      <w:pPr>
        <w:pStyle w:val="null10"/>
        <w:spacing w:lineRule="exact" w:line="200"/>
        <w:ind w:firstLine="280"/>
        <w:jc w:val="left"/>
      </w:pPr>
      <w:r>
        <w:rPr>
          <w:rFonts w:ascii="方正黑体_GBK" w:hAnsi="方正黑体_GBK" w:cs="宋体" w:eastAsia="方正黑体_GBK"/>
          <w:sz w:val="15"/>
          <w:szCs w:val="20"/>
        </w:rPr>
        <w:t>以本金列示，按商定的利率在实际持有期间内逐日计提。</w:t>
      </w:r>
    </w:p>
    <w:p>
      <w:pPr>
        <w:pStyle w:val="null10"/>
        <w:spacing w:lineRule="exact" w:line="200"/>
        <w:ind w:firstLine="280"/>
        <w:jc w:val="left"/>
      </w:pPr>
      <w:r>
        <w:rPr>
          <w:rFonts w:ascii="方正黑体_GBK" w:hAnsi="方正黑体_GBK" w:cs="宋体" w:eastAsia="方正黑体_GBK"/>
          <w:sz w:val="15"/>
          <w:color w:val="3D3D3D"/>
          <w:szCs w:val="20"/>
        </w:rPr>
        <w:t>2.债券类资产</w:t>
      </w:r>
    </w:p>
    <w:p>
      <w:pPr>
        <w:pStyle w:val="null10"/>
        <w:spacing w:lineRule="exact" w:line="200"/>
        <w:ind w:firstLine="280"/>
        <w:jc w:val="left"/>
      </w:pPr>
      <w:r>
        <w:rPr>
          <w:rFonts w:ascii="方正黑体_GBK" w:hAnsi="方正黑体_GBK" w:cs="宋体" w:eastAsia="方正黑体_GBK"/>
          <w:sz w:val="15"/>
          <w:color w:val="3D3D3D"/>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pPr>
        <w:pStyle w:val="null10"/>
        <w:spacing w:lineRule="exact" w:line="200"/>
        <w:ind w:firstLine="280"/>
        <w:jc w:val="left"/>
      </w:pPr>
      <w:r>
        <w:rPr>
          <w:rFonts w:ascii="方正黑体_GBK" w:hAnsi="方正黑体_GBK" w:cs="宋体" w:eastAsia="方正黑体_GBK"/>
          <w:sz w:val="15"/>
          <w:color w:val="3D3D3D"/>
          <w:szCs w:val="20"/>
        </w:rPr>
        <w:t>3.非标准化债权类资产</w:t>
      </w:r>
    </w:p>
    <w:p>
      <w:pPr>
        <w:pStyle w:val="null10"/>
        <w:spacing w:lineRule="exact" w:line="200"/>
        <w:ind w:firstLine="280"/>
        <w:jc w:val="left"/>
      </w:pPr>
      <w:r>
        <w:rPr>
          <w:rFonts w:ascii="方正黑体_GBK" w:hAnsi="方正黑体_GBK" w:cs="宋体" w:eastAsia="方正黑体_GBK"/>
          <w:sz w:val="15"/>
          <w:color w:val="3D3D3D"/>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280"/>
        <w:jc w:val="left"/>
      </w:pPr>
      <w:r>
        <w:rPr>
          <w:rFonts w:ascii="方正黑体_GBK" w:hAnsi="方正黑体_GBK" w:cs="宋体" w:eastAsia="方正黑体_GBK"/>
          <w:sz w:val="15"/>
          <w:color w:val="3D3D3D"/>
          <w:szCs w:val="20"/>
        </w:rPr>
        <w:t>4.证券投资基金</w:t>
      </w:r>
    </w:p>
    <w:p>
      <w:pPr>
        <w:pStyle w:val="null10"/>
        <w:spacing w:lineRule="exact" w:line="200"/>
        <w:ind w:firstLine="280"/>
        <w:jc w:val="left"/>
      </w:pPr>
      <w:r>
        <w:rPr>
          <w:rFonts w:ascii="方正黑体_GBK" w:hAnsi="方正黑体_GBK" w:cs="宋体" w:eastAsia="方正黑体_GBK"/>
          <w:sz w:val="15"/>
          <w:color w:val="3D3D3D"/>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pPr>
        <w:pStyle w:val="null10"/>
        <w:spacing w:lineRule="exact" w:line="200"/>
        <w:ind w:firstLine="280"/>
        <w:jc w:val="left"/>
      </w:pPr>
      <w:r>
        <w:rPr>
          <w:rFonts w:ascii="方正黑体_GBK" w:hAnsi="方正黑体_GBK" w:cs="宋体" w:eastAsia="方正黑体_GBK"/>
          <w:sz w:val="15"/>
          <w:color w:val="3D3D3D"/>
          <w:szCs w:val="20"/>
        </w:rPr>
        <w:t>5.股权类资产</w:t>
      </w:r>
    </w:p>
    <w:p>
      <w:pPr>
        <w:pStyle w:val="null10"/>
        <w:spacing w:lineRule="exact" w:line="200"/>
        <w:ind w:firstLine="280"/>
        <w:jc w:val="left"/>
      </w:pPr>
      <w:r>
        <w:rPr>
          <w:rFonts w:ascii="方正黑体_GBK" w:hAnsi="方正黑体_GBK" w:cs="宋体" w:eastAsia="方正黑体_GBK"/>
          <w:sz w:val="15"/>
          <w:color w:val="3D3D3D"/>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pPr>
        <w:pStyle w:val="null10"/>
        <w:spacing w:lineRule="exact" w:line="200"/>
        <w:ind w:firstLine="280"/>
        <w:jc w:val="left"/>
      </w:pPr>
      <w:r>
        <w:rPr>
          <w:rFonts w:ascii="方正黑体_GBK" w:hAnsi="方正黑体_GBK" w:cs="宋体" w:eastAsia="方正黑体_GBK"/>
          <w:sz w:val="15"/>
          <w:color w:val="3D3D3D"/>
          <w:szCs w:val="20"/>
        </w:rPr>
        <w:t>6.资管计划、信托计划等资产</w:t>
      </w:r>
    </w:p>
    <w:p>
      <w:pPr>
        <w:pStyle w:val="null10"/>
        <w:spacing w:lineRule="exact" w:line="200"/>
        <w:ind w:firstLine="280"/>
        <w:jc w:val="left"/>
      </w:pPr>
      <w:r>
        <w:rPr>
          <w:rFonts w:ascii="方正黑体_GBK" w:hAnsi="方正黑体_GBK" w:cs="宋体" w:eastAsia="方正黑体_GBK"/>
          <w:sz w:val="15"/>
          <w:color w:val="3D3D3D"/>
          <w:szCs w:val="20"/>
        </w:rPr>
        <w:t>存在公允价值的，按照公允价值估值，或采用估值技术确定估值，也可采用被委托机构提供的估值或计量报告。</w:t>
      </w:r>
    </w:p>
    <w:p>
      <w:pPr>
        <w:pStyle w:val="null10"/>
        <w:spacing w:lineRule="exact" w:line="200"/>
        <w:ind w:firstLine="280"/>
        <w:jc w:val="left"/>
      </w:pPr>
      <w:r>
        <w:rPr>
          <w:rFonts w:ascii="方正黑体_GBK" w:hAnsi="方正黑体_GBK" w:cs="宋体" w:eastAsia="方正黑体_GBK"/>
          <w:sz w:val="15"/>
          <w:color w:val="3D3D3D"/>
          <w:szCs w:val="20"/>
        </w:rPr>
        <w:t>7.其他资产</w:t>
      </w:r>
    </w:p>
    <w:p>
      <w:pPr>
        <w:pStyle w:val="null10"/>
        <w:spacing w:lineRule="exact" w:line="200"/>
        <w:ind w:firstLine="280"/>
        <w:jc w:val="left"/>
      </w:pPr>
      <w:r>
        <w:rPr>
          <w:rFonts w:ascii="方正黑体_GBK" w:hAnsi="方正黑体_GBK" w:cs="宋体" w:eastAsia="方正黑体_GBK"/>
          <w:sz w:val="15"/>
          <w:color w:val="3D3D3D"/>
          <w:szCs w:val="20"/>
        </w:rPr>
        <w:t>存在公允价值的，按照公允价值估值，或采用估值技术确定估值，也可采用被委托机构提供的估值或计量报告。具体可参考《企业会计准则》以及相关监管政策的规定。</w:t>
      </w:r>
    </w:p>
    <w:p>
      <w:pPr>
        <w:pStyle w:val="null10"/>
        <w:spacing w:lineRule="exact" w:line="200"/>
        <w:ind w:firstLine="280"/>
        <w:jc w:val="left"/>
      </w:pPr>
      <w:r>
        <w:rPr>
          <w:rFonts w:ascii="方正黑体_GBK" w:hAnsi="方正黑体_GBK" w:cs="宋体" w:eastAsia="方正黑体_GBK"/>
          <w:sz w:val="15"/>
          <w:color w:val="3D3D3D"/>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pPr>
        <w:pStyle w:val="null10"/>
        <w:spacing w:lineRule="exact" w:line="200"/>
        <w:ind w:firstLine="280"/>
        <w:jc w:val="left"/>
      </w:pPr>
      <w:r>
        <w:rPr>
          <w:rFonts w:ascii="方正黑体_GBK" w:hAnsi="方正黑体_GBK" w:cs="宋体" w:eastAsia="方正黑体_GBK"/>
          <w:sz w:val="15"/>
          <w:color w:val="3D3D3D"/>
          <w:szCs w:val="20"/>
        </w:rPr>
        <w:t>9.如有新增事项或变更事项，按国家最新规定或管理人最新的约定估值。</w:t>
      </w:r>
    </w:p>
    <w:p>
      <w:pPr>
        <w:pStyle w:val="null10"/>
        <w:spacing w:lineRule="exact" w:line="200"/>
        <w:ind w:firstLine="280"/>
        <w:jc w:val="left"/>
      </w:pPr>
      <w:r>
        <w:rPr>
          <w:rFonts w:ascii="方正黑体_GBK" w:hAnsi="方正黑体_GBK" w:cs="宋体" w:eastAsia="方正黑体_GBK"/>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a2536bc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a2536bc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a2536b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按月</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a2536b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a2536b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a2536b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a2536b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a2536b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a2536b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a2536b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a2536b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a2536bc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a2536bc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bookmarkStart w:id="0" w:name="_GoBack"/>
      <w:bookmarkEnd w:id="0"/>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a2536bc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bookmarkStart w:id="0" w:name="_GoBack"/>
      <w:bookmarkEnd w:id="0"/>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a2536b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a2536bce"/>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定期开放式、固定收益类、公募、净值型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bookmarkStart w:id="0" w:name="_GoBack"/>
      <w:bookmarkEnd w:id="0"/>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Lucida Sans"/>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1"/>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70681d05">
    <w:name w:val="Normal70681d0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84a7c02">
    <w:name w:val="heading 1e84a7c02"/>
    <w:basedOn w:val="70681d0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2bedaf8">
    <w:name w:val="heading 222bedaf8"/>
    <w:basedOn w:val="70681d0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ca596f4">
    <w:name w:val="heading 31ca596f4"/>
    <w:basedOn w:val="70681d0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cb5cd98">
    <w:name w:val="Default Paragraph Font8cb5cd98"/>
  </w:style>
  <w:style xmlns:r="http://schemas.openxmlformats.org/officeDocument/2006/relationships" w:type="paragraph" w:styleId="405b3d04">
    <w:name w:val="toc 1405b3d04"/>
    <w:basedOn w:val="70681d05"/>
    <w:autoRedefine/>
    <w:next w:val="0"/>
  </w:style>
  <w:style xmlns:r="http://schemas.openxmlformats.org/officeDocument/2006/relationships" w:type="paragraph" w:styleId="bc4718e0">
    <w:name w:val="toc 2bc4718e0"/>
    <w:basedOn w:val="70681d05"/>
    <w:autoRedefine/>
    <w:next w:val="0"/>
    <w:pPr>
      <w:ind w:left="420"/>
    </w:pPr>
  </w:style>
  <w:style xmlns:r="http://schemas.openxmlformats.org/officeDocument/2006/relationships" w:type="paragraph" w:styleId="9bbb6149">
    <w:name w:val="toc 39bbb6149"/>
    <w:basedOn w:val="70681d05"/>
    <w:autoRedefine/>
    <w:next w:val="0"/>
    <w:pPr>
      <w:ind w:left="840"/>
    </w:pPr>
  </w:style>
  <w:style xmlns:r="http://schemas.openxmlformats.org/officeDocument/2006/relationships" w:type="paragraph" w:styleId="2bdf0f75">
    <w:name w:val="toc 42bdf0f75"/>
    <w:basedOn w:val="70681d05"/>
    <w:autoRedefine/>
    <w:next w:val="0"/>
    <w:pPr>
      <w:ind w:left="1260"/>
    </w:pPr>
  </w:style>
  <w:style xmlns:r="http://schemas.openxmlformats.org/officeDocument/2006/relationships" w:type="paragraph" w:styleId="f92b039b">
    <w:name w:val="toc 5f92b039b"/>
    <w:basedOn w:val="70681d05"/>
    <w:autoRedefine/>
    <w:next w:val="0"/>
    <w:pPr>
      <w:ind w:left="1680"/>
    </w:pPr>
  </w:style>
  <w:style xmlns:r="http://schemas.openxmlformats.org/officeDocument/2006/relationships" w:type="paragraph" w:styleId="fe1ff844">
    <w:name w:val="headerfe1ff844"/>
    <w:basedOn w:val="70681d0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70c9791">
    <w:name w:val="footer870c9791"/>
    <w:basedOn w:val="70681d05"/>
    <w:pPr>
      <w:tabs>
        <w:tab w:val="center" w:pos="4153"/>
        <w:tab w:val="right" w:pos="8307"/>
      </w:tabs>
      <w:adjustRightInd/>
      <w:snapToGrid w:val="0"/>
      <w:contextualSpacing w:val="0"/>
      <w:jc w:val="left"/>
    </w:pPr>
    <w:rPr>
      <w:sz w:val="18"/>
    </w:rPr>
  </w:style>
  <w:style xmlns:r="http://schemas.openxmlformats.org/officeDocument/2006/relationships" w:type="character" w:styleId="b2e8ec63">
    <w:name w:val="Strongb2e8ec63"/>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2536bce">
    <w:name w:val="Normala2536bc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fef2e71b">
    <w:name w:val="heading 1fef2e71b"/>
    <w:basedOn w:val="a2536bc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595cfa4">
    <w:name w:val="heading 23595cfa4"/>
    <w:basedOn w:val="a2536bc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e48a58b">
    <w:name w:val="heading 38e48a58b"/>
    <w:basedOn w:val="a2536bc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e489098">
    <w:name w:val="Default Paragraph Font0e489098"/>
  </w:style>
  <w:style xmlns:r="http://schemas.openxmlformats.org/officeDocument/2006/relationships" w:type="paragraph" w:styleId="f9e4d0c0">
    <w:name w:val="Normal Indentf9e4d0c0"/>
    <w:basedOn w:val="a2536bce"/>
    <w:pPr>
      <w:ind w:firstLineChars="200" w:firstLine="200"/>
    </w:pPr>
  </w:style>
  <w:style xmlns:r="http://schemas.openxmlformats.org/officeDocument/2006/relationships" w:type="paragraph" w:styleId="03bc836e">
    <w:name w:val="toc 503bc836e"/>
    <w:basedOn w:val="a2536bce"/>
    <w:next w:val="0"/>
    <w:pPr>
      <w:ind w:left="1680"/>
    </w:pPr>
  </w:style>
  <w:style xmlns:r="http://schemas.openxmlformats.org/officeDocument/2006/relationships" w:type="paragraph" w:styleId="7f8782ea">
    <w:name w:val="toc 37f8782ea"/>
    <w:basedOn w:val="a2536bce"/>
    <w:next w:val="0"/>
    <w:pPr>
      <w:ind w:left="840"/>
    </w:pPr>
  </w:style>
  <w:style xmlns:r="http://schemas.openxmlformats.org/officeDocument/2006/relationships" w:type="paragraph" w:styleId="ca0e297e">
    <w:name w:val="footerca0e297e"/>
    <w:basedOn w:val="a2536bce"/>
    <w:pPr>
      <w:tabs>
        <w:tab w:val="center" w:pos="4153"/>
        <w:tab w:val="right" w:pos="8307"/>
      </w:tabs>
      <w:adjustRightInd/>
      <w:snapToGrid w:val="0"/>
      <w:contextualSpacing w:val="0"/>
      <w:jc w:val="left"/>
    </w:pPr>
    <w:rPr>
      <w:sz w:val="18"/>
    </w:rPr>
  </w:style>
  <w:style xmlns:r="http://schemas.openxmlformats.org/officeDocument/2006/relationships" w:type="paragraph" w:styleId="b291445a">
    <w:name w:val="headerb291445a"/>
    <w:basedOn w:val="a2536bc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5fc1250">
    <w:name w:val="toc 165fc1250"/>
    <w:basedOn w:val="a2536bce"/>
    <w:next w:val="0"/>
  </w:style>
  <w:style xmlns:r="http://schemas.openxmlformats.org/officeDocument/2006/relationships" w:type="paragraph" w:styleId="51b09729">
    <w:name w:val="toc 451b09729"/>
    <w:basedOn w:val="a2536bce"/>
    <w:next w:val="0"/>
    <w:pPr>
      <w:ind w:left="1260"/>
    </w:pPr>
  </w:style>
  <w:style xmlns:r="http://schemas.openxmlformats.org/officeDocument/2006/relationships" w:type="paragraph" w:styleId="352ee8fe">
    <w:name w:val="toc 2352ee8fe"/>
    <w:basedOn w:val="a2536bce"/>
    <w:next w:val="0"/>
    <w:pPr>
      <w:ind w:left="420"/>
    </w:pPr>
  </w:style>
  <w:style xmlns:r="http://schemas.openxmlformats.org/officeDocument/2006/relationships" w:type="paragraph" w:styleId="cfb33652">
    <w:name w:val="Normal (Web)cfb3365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90b4d1e">
    <w:name w:val="Normalf90b4d1ef90b4d1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4ee4b215">
    <w:name w:val="heading 14ee4b2154ee4b215"/>
    <w:basedOn w:val="f90b4d1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fb9ce28">
    <w:name w:val="heading 28fb9ce288fb9ce28"/>
    <w:basedOn w:val="f90b4d1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7bae7b5">
    <w:name w:val="heading 327bae7b527bae7b5"/>
    <w:basedOn w:val="f90b4d1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e8f4a2a">
    <w:name w:val="Default Paragraph Font2e8f4a2a2e8f4a2a"/>
  </w:style>
  <w:style xmlns:r="http://schemas.openxmlformats.org/officeDocument/2006/relationships" w:type="paragraph" w:customStyle="1" w:styleId="91756a9f">
    <w:name w:val="引文目录191756a9f91756a9f"/>
    <w:basedOn w:val="f90b4d1e"/>
    <w:next w:val="0"/>
    <w:pPr>
      <w:ind w:leftChars="200" w:left="200"/>
    </w:pPr>
  </w:style>
  <w:style xmlns:r="http://schemas.openxmlformats.org/officeDocument/2006/relationships" w:type="paragraph" w:styleId="9a1cb9c4">
    <w:name w:val="toc 59a1cb9c49a1cb9c4"/>
    <w:basedOn w:val="f90b4d1e"/>
    <w:next w:val="0"/>
    <w:pPr>
      <w:ind w:left="1680"/>
    </w:pPr>
  </w:style>
  <w:style xmlns:r="http://schemas.openxmlformats.org/officeDocument/2006/relationships" w:type="paragraph" w:styleId="649d70d2">
    <w:name w:val="toc 3649d70d2649d70d2"/>
    <w:basedOn w:val="f90b4d1e"/>
    <w:next w:val="0"/>
    <w:pPr>
      <w:ind w:left="840"/>
    </w:pPr>
  </w:style>
  <w:style xmlns:r="http://schemas.openxmlformats.org/officeDocument/2006/relationships" w:type="paragraph" w:styleId="7eaa7664">
    <w:name w:val="footer7eaa76647eaa7664"/>
    <w:basedOn w:val="f90b4d1e"/>
    <w:pPr>
      <w:tabs>
        <w:tab w:val="center" w:pos="4153"/>
        <w:tab w:val="right" w:pos="8307"/>
      </w:tabs>
      <w:adjustRightInd/>
      <w:snapToGrid w:val="0"/>
      <w:contextualSpacing w:val="0"/>
      <w:jc w:val="left"/>
    </w:pPr>
    <w:rPr>
      <w:sz w:val="18"/>
    </w:rPr>
  </w:style>
  <w:style xmlns:r="http://schemas.openxmlformats.org/officeDocument/2006/relationships" w:type="paragraph" w:styleId="c54e6498">
    <w:name w:val="headerc54e6498c54e6498"/>
    <w:basedOn w:val="f90b4d1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ecc80a7">
    <w:name w:val="toc 18ecc80a78ecc80a7"/>
    <w:basedOn w:val="f90b4d1e"/>
    <w:next w:val="0"/>
  </w:style>
  <w:style xmlns:r="http://schemas.openxmlformats.org/officeDocument/2006/relationships" w:type="paragraph" w:styleId="b5432d2b">
    <w:name w:val="toc 4b5432d2bb5432d2b"/>
    <w:basedOn w:val="f90b4d1e"/>
    <w:next w:val="0"/>
    <w:pPr>
      <w:ind w:left="1260"/>
    </w:pPr>
  </w:style>
  <w:style xmlns:r="http://schemas.openxmlformats.org/officeDocument/2006/relationships" w:type="paragraph" w:styleId="53a0ff0a">
    <w:name w:val="toc 253a0ff0a53a0ff0a"/>
    <w:basedOn w:val="f90b4d1e"/>
    <w:next w:val="0"/>
    <w:pPr>
      <w:ind w:left="420"/>
    </w:pPr>
  </w:style>
  <w:style xmlns:r="http://schemas.openxmlformats.org/officeDocument/2006/relationships" w:type="paragraph" w:customStyle="1" w:styleId="b41618fe">
    <w:name w:val="列出段落1b41618feb41618fe"/>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81</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用户admin</cp:lastModifiedBy>
  <dcterms:modified xsi:type="dcterms:W3CDTF">2022-10-14T07:08:29Z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