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673F5">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bookmarkStart w:id="0" w:name="_GoBack"/>
      <w:bookmarkEnd w:id="0"/>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14:paraId="337DEC07">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20DE05C2">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03E6432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1774583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3BC06CD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南银理财鼎瑞安稳一年定开2025第16期公募人民币理财产品</w:t>
            </w:r>
          </w:p>
        </w:tc>
      </w:tr>
      <w:tr w14:paraId="217067A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41F1B2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6AC76D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定期开放式、固定收益类、公募、净值型</w:t>
            </w:r>
          </w:p>
        </w:tc>
      </w:tr>
      <w:tr w14:paraId="229C333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70FE59A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444B664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7EEC7B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2DD0BD8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3320B6E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ZZ700322500295</w:t>
            </w:r>
          </w:p>
        </w:tc>
      </w:tr>
      <w:tr w14:paraId="6720C0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8762FD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4DBD38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Z7003225000244(投资者可依据该编码在中国理财网www.chinawealth.com.cn查询理财产品相关信息）</w:t>
            </w:r>
          </w:p>
        </w:tc>
      </w:tr>
      <w:tr w14:paraId="417000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4B5AF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0AFCEA28">
            <w:pPr>
              <w:spacing w:line="200" w:lineRule="exact"/>
            </w:pPr>
            <w:r>
              <w:rPr>
                <w:rFonts w:ascii="方正黑体_GBK" w:hAnsi="方正黑体_GBK" w:eastAsia="方正黑体_GBK" w:cs="宋体"/>
                <w:sz w:val="18"/>
                <w:szCs w:val="18"/>
              </w:rPr>
              <w:t>A份额：Z30026</w:t>
            </w:r>
          </w:p>
          <w:p w14:paraId="53AE24D1">
            <w:pPr>
              <w:spacing w:line="200" w:lineRule="exact"/>
            </w:pPr>
            <w:r>
              <w:rPr>
                <w:rFonts w:ascii="方正黑体_GBK" w:hAnsi="方正黑体_GBK" w:eastAsia="方正黑体_GBK" w:cs="宋体"/>
                <w:sz w:val="18"/>
                <w:szCs w:val="18"/>
              </w:rPr>
              <w:t>B份额：ZB30026</w:t>
            </w:r>
          </w:p>
          <w:p w14:paraId="5CA4F5E1">
            <w:pPr>
              <w:spacing w:line="200" w:lineRule="exact"/>
            </w:pPr>
            <w:r>
              <w:rPr>
                <w:rFonts w:ascii="方正黑体_GBK" w:hAnsi="方正黑体_GBK" w:eastAsia="方正黑体_GBK" w:cs="宋体"/>
                <w:sz w:val="18"/>
                <w:szCs w:val="18"/>
              </w:rPr>
              <w:t>C份额：ZC30026</w:t>
            </w:r>
          </w:p>
          <w:p w14:paraId="1856D800">
            <w:pPr>
              <w:spacing w:line="200" w:lineRule="exact"/>
            </w:pPr>
            <w:r>
              <w:rPr>
                <w:rFonts w:ascii="方正黑体_GBK" w:hAnsi="方正黑体_GBK" w:eastAsia="方正黑体_GBK" w:cs="宋体"/>
                <w:sz w:val="18"/>
                <w:szCs w:val="18"/>
              </w:rPr>
              <w:t>D份额：ZD30026</w:t>
            </w:r>
          </w:p>
          <w:p w14:paraId="210DB443">
            <w:pPr>
              <w:spacing w:line="200" w:lineRule="exact"/>
            </w:pPr>
            <w:r>
              <w:rPr>
                <w:rFonts w:ascii="方正黑体_GBK" w:hAnsi="方正黑体_GBK" w:eastAsia="方正黑体_GBK" w:cs="宋体"/>
                <w:sz w:val="18"/>
                <w:szCs w:val="18"/>
              </w:rPr>
              <w:t>E份额：ZE30026</w:t>
            </w:r>
          </w:p>
          <w:p w14:paraId="0372733E">
            <w:pPr>
              <w:spacing w:line="200" w:lineRule="exact"/>
            </w:pPr>
            <w:r>
              <w:rPr>
                <w:rFonts w:ascii="方正黑体_GBK" w:hAnsi="方正黑体_GBK" w:eastAsia="方正黑体_GBK" w:cs="宋体"/>
                <w:sz w:val="18"/>
                <w:szCs w:val="18"/>
              </w:rPr>
              <w:t>F份额：ZF30026</w:t>
            </w:r>
          </w:p>
          <w:p w14:paraId="53793912">
            <w:pPr>
              <w:spacing w:line="200" w:lineRule="exact"/>
            </w:pPr>
            <w:r>
              <w:rPr>
                <w:rFonts w:ascii="方正黑体_GBK" w:hAnsi="方正黑体_GBK" w:eastAsia="方正黑体_GBK" w:cs="宋体"/>
                <w:sz w:val="18"/>
                <w:szCs w:val="18"/>
              </w:rPr>
              <w:t>G份额：ZG30026</w:t>
            </w:r>
          </w:p>
          <w:p w14:paraId="2A5154B8">
            <w:pPr>
              <w:spacing w:line="200" w:lineRule="exact"/>
            </w:pPr>
            <w:r>
              <w:rPr>
                <w:rFonts w:ascii="方正黑体_GBK" w:hAnsi="方正黑体_GBK" w:eastAsia="方正黑体_GBK" w:cs="宋体"/>
                <w:sz w:val="18"/>
                <w:szCs w:val="18"/>
              </w:rPr>
              <w:t>M份额：ZM30026</w:t>
            </w:r>
          </w:p>
          <w:p w14:paraId="418385AA">
            <w:pPr>
              <w:spacing w:line="200" w:lineRule="exact"/>
            </w:pPr>
            <w:r>
              <w:rPr>
                <w:rFonts w:ascii="方正黑体_GBK" w:hAnsi="方正黑体_GBK" w:eastAsia="方正黑体_GBK" w:cs="宋体"/>
                <w:sz w:val="18"/>
                <w:szCs w:val="18"/>
              </w:rPr>
              <w:t>N份额：ZN30026</w:t>
            </w:r>
          </w:p>
          <w:p w14:paraId="1DD54AED">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42317F3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9145FE">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理财期限</w:t>
            </w:r>
          </w:p>
        </w:tc>
        <w:tc>
          <w:tcPr>
            <w:tcW w:w="5543" w:type="dxa"/>
            <w:tcBorders>
              <w:top w:val="single" w:color="auto" w:sz="4" w:space="0"/>
              <w:left w:val="nil"/>
              <w:bottom w:val="single" w:color="auto" w:sz="4" w:space="0"/>
              <w:right w:val="single" w:color="auto" w:sz="4" w:space="0"/>
              <w:tl2br w:val="nil"/>
              <w:tr2bl w:val="nil"/>
            </w:tcBorders>
            <w:vAlign w:val="center"/>
          </w:tcPr>
          <w:p w14:paraId="26DC62A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sz w:val="18"/>
                <w:szCs w:val="18"/>
              </w:rPr>
              <w:t>10年</w:t>
            </w:r>
            <w:r>
              <w:rPr>
                <w:rFonts w:hint="eastAsia" w:ascii="方正黑体_GBK" w:hAnsi="方正黑体_GBK" w:eastAsia="方正黑体_GBK" w:cs="宋体"/>
                <w:kern w:val="0"/>
                <w:sz w:val="18"/>
                <w:szCs w:val="18"/>
                <w:lang w:val="en-US" w:eastAsia="zh-CN"/>
              </w:rPr>
              <w:t>（管理人有权提前终止或延期终止）</w:t>
            </w:r>
          </w:p>
        </w:tc>
      </w:tr>
      <w:tr w14:paraId="144181B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693A4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57F12E7C">
            <w:pPr>
              <w:spacing w:line="200" w:lineRule="exact"/>
            </w:pPr>
            <w:r>
              <w:rPr>
                <w:rFonts w:ascii="方正黑体_GBK" w:hAnsi="方正黑体_GBK" w:eastAsia="方正黑体_GBK" w:cs="宋体"/>
                <w:sz w:val="18"/>
                <w:szCs w:val="18"/>
              </w:rPr>
              <w:t>全国</w:t>
            </w:r>
          </w:p>
        </w:tc>
      </w:tr>
      <w:tr w14:paraId="1D95614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470F3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7998B36F">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19FF947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BD3A7F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343BF3BC">
            <w:pPr>
              <w:spacing w:line="200" w:lineRule="exact"/>
            </w:pPr>
            <w:r>
              <w:rPr>
                <w:rFonts w:ascii="方正黑体_GBK" w:hAnsi="方正黑体_GBK" w:eastAsia="方正黑体_GBK" w:cs="宋体"/>
                <w:sz w:val="18"/>
                <w:szCs w:val="18"/>
              </w:rPr>
              <w:t>本理财产品规模上限为500亿元。理财产品管理人有权对上述规模上限根据实际业务需求进行调整。</w:t>
            </w:r>
          </w:p>
        </w:tc>
      </w:tr>
      <w:tr w14:paraId="1EE40CF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D74C6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33CF832E">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5165AB31">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0EC314D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8F19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6750C477">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31DA52E8">
            <w:pPr>
              <w:spacing w:line="200" w:lineRule="exact"/>
            </w:pPr>
            <w:r>
              <w:rPr>
                <w:rFonts w:ascii="方正黑体_GBK" w:hAnsi="方正黑体_GBK" w:eastAsia="方正黑体_GBK" w:cs="宋体"/>
                <w:sz w:val="18"/>
                <w:szCs w:val="18"/>
              </w:rPr>
              <w:t>A份额：南京银行股份有限公司、南银理财有限责任公司、昆山鹿城村镇银行股份有限公司、齐鲁银行股份有限公司、九江银行股份有限公司客户。</w:t>
            </w:r>
          </w:p>
          <w:p w14:paraId="23B9A704">
            <w:pPr>
              <w:spacing w:line="200" w:lineRule="exact"/>
            </w:pPr>
            <w:r>
              <w:rPr>
                <w:rFonts w:ascii="方正黑体_GBK" w:hAnsi="方正黑体_GBK" w:eastAsia="方正黑体_GBK" w:cs="宋体"/>
                <w:sz w:val="18"/>
                <w:szCs w:val="18"/>
              </w:rPr>
              <w:t>B份额：交通银行股份有限公司、江苏常熟农村商业银行股份有限公司、江苏苏州农村商业银行股份有限公司、齐鲁银行股份有限公司、贵阳银行股份有限公司、天津农村商业银行股份有限公司（大众客群）、云南红塔银行股份有限公司（代发客户）、中原银行股份有限公司、桂林银行股份有限公司、石嘴山银行股份有限公司、江苏苏商银行股份有限公司、江苏丹阳农村商业银行股份有限公司、江苏靖江农村商业银行股份有限公司、江苏民丰农村商业银行股份有限公司、江苏建湖农村商业银行股份有限公司、江苏南通农村商业银行股份有限公司、江苏大丰农村商业银行股份有限公司、江苏镇江农村商业银行股份有限公司、江苏丰县农村商业银行股份有限公司、江苏句容农村商业银行股份有限公司、江苏仪征农村商业银行股份有限公司、江苏沭阳农村商业银行股份有限公司客户。</w:t>
            </w:r>
          </w:p>
          <w:p w14:paraId="3C7D6B09">
            <w:pPr>
              <w:spacing w:line="200" w:lineRule="exact"/>
            </w:pPr>
            <w:r>
              <w:rPr>
                <w:rFonts w:ascii="方正黑体_GBK" w:hAnsi="方正黑体_GBK" w:eastAsia="方正黑体_GBK" w:cs="宋体"/>
                <w:sz w:val="18"/>
                <w:szCs w:val="18"/>
              </w:rPr>
              <w:t>C份额：江苏常熟农村商业银行股份有限公司（特定客群）、河北银行股份有限公司（常规客户）、天津农村商业银行股份有限公司（社保专属）、云南红塔银行股份有限公司（财富客户）、江苏扬州农村商业银行股份有限公司客户。</w:t>
            </w:r>
          </w:p>
          <w:p w14:paraId="4FDB02DE">
            <w:pPr>
              <w:spacing w:line="200" w:lineRule="exact"/>
            </w:pPr>
            <w:r>
              <w:rPr>
                <w:rFonts w:ascii="方正黑体_GBK" w:hAnsi="方正黑体_GBK" w:eastAsia="方正黑体_GBK" w:cs="宋体"/>
                <w:sz w:val="18"/>
                <w:szCs w:val="18"/>
              </w:rPr>
              <w:t>D份额：河北银行股份有限公司（分行特供）、秦皇岛银行股份有限公司、天津农村商业银行股份有限公司（专属客户）、云南红塔银行股份有限公司（新客户）、桂林银行股份有限公司、甘肃银行股份有限公司、江苏镇江农村商业银行股份有限公司（20万元起购）、江苏紫金农村商业银行股份有限公司、江苏沛县农村商业银行股份有限公司客户。</w:t>
            </w:r>
          </w:p>
          <w:p w14:paraId="29777F29">
            <w:pPr>
              <w:spacing w:line="200" w:lineRule="exact"/>
            </w:pPr>
            <w:r>
              <w:rPr>
                <w:rFonts w:ascii="方正黑体_GBK" w:hAnsi="方正黑体_GBK" w:eastAsia="方正黑体_GBK" w:cs="宋体"/>
                <w:sz w:val="18"/>
                <w:szCs w:val="18"/>
              </w:rPr>
              <w:t>E份额：天津农村商业银行股份有限公司（特邀客户）、云南红塔银行股份有限公司（财富300万客户）、江苏镇江农村商业银行股份有限公司（100万元起购）、江苏沛县农村商业银行股份有限公司（高端客户专属）客户。</w:t>
            </w:r>
          </w:p>
          <w:p w14:paraId="297A9803">
            <w:pPr>
              <w:spacing w:line="200" w:lineRule="exact"/>
            </w:pPr>
            <w:r>
              <w:rPr>
                <w:rFonts w:ascii="方正黑体_GBK" w:hAnsi="方正黑体_GBK" w:eastAsia="方正黑体_GBK" w:cs="宋体"/>
                <w:sz w:val="18"/>
                <w:szCs w:val="18"/>
              </w:rPr>
              <w:t>F份额：南京银行私行客户、钻石客户、新晋私行客户、新晋钻石户及南京银行认定的其他符合标准的客户。</w:t>
            </w:r>
          </w:p>
          <w:p w14:paraId="4650D4E8">
            <w:pPr>
              <w:spacing w:line="200" w:lineRule="exact"/>
            </w:pPr>
            <w:r>
              <w:rPr>
                <w:rFonts w:ascii="方正黑体_GBK" w:hAnsi="方正黑体_GBK" w:eastAsia="方正黑体_GBK" w:cs="宋体"/>
                <w:sz w:val="18"/>
                <w:szCs w:val="18"/>
              </w:rPr>
              <w:t>G份额：成都银行股份有限公司客户。</w:t>
            </w:r>
          </w:p>
          <w:p w14:paraId="5B1AB602">
            <w:pPr>
              <w:spacing w:line="200" w:lineRule="exact"/>
            </w:pPr>
            <w:r>
              <w:rPr>
                <w:rFonts w:ascii="方正黑体_GBK" w:hAnsi="方正黑体_GBK" w:eastAsia="方正黑体_GBK" w:cs="宋体"/>
                <w:sz w:val="18"/>
                <w:szCs w:val="18"/>
              </w:rPr>
              <w:t>M份额：苏州银行股份有限公司、嘉兴银行股份有限公司客户。</w:t>
            </w:r>
          </w:p>
          <w:p w14:paraId="4AA4E0A1">
            <w:pPr>
              <w:spacing w:line="200" w:lineRule="exact"/>
            </w:pPr>
            <w:r>
              <w:rPr>
                <w:rFonts w:ascii="方正黑体_GBK" w:hAnsi="方正黑体_GBK" w:eastAsia="方正黑体_GBK" w:cs="宋体"/>
                <w:sz w:val="18"/>
                <w:szCs w:val="18"/>
              </w:rPr>
              <w:t>N份额：苏州银行股份有限公司（代发与新资金专属）客户。</w:t>
            </w:r>
          </w:p>
          <w:p w14:paraId="6D3227AC">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723F72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0287C1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553AE424">
            <w:pPr>
              <w:spacing w:line="200" w:lineRule="exact"/>
            </w:pPr>
            <w:r>
              <w:rPr>
                <w:rFonts w:ascii="方正黑体_GBK" w:hAnsi="方正黑体_GBK" w:eastAsia="方正黑体_GBK" w:cs="宋体"/>
                <w:sz w:val="18"/>
                <w:szCs w:val="18"/>
              </w:rPr>
              <w:t>A份额/B份额/C份额/D份额/E份额/F份额/G份额/M份额/N份额：</w:t>
            </w:r>
          </w:p>
          <w:p w14:paraId="1F5E9901">
            <w:pPr>
              <w:spacing w:line="200" w:lineRule="exact"/>
            </w:pPr>
            <w:r>
              <w:rPr>
                <w:rFonts w:ascii="方正黑体_GBK" w:hAnsi="方正黑体_GBK" w:eastAsia="方正黑体_GBK" w:cs="宋体"/>
                <w:sz w:val="18"/>
                <w:szCs w:val="18"/>
              </w:rPr>
              <w:t>个人投资者投资起点金额1元人民币，以1元的整数倍递增；</w:t>
            </w:r>
          </w:p>
          <w:p w14:paraId="0A36768B">
            <w:pPr>
              <w:spacing w:line="200" w:lineRule="exact"/>
            </w:pPr>
            <w:r>
              <w:rPr>
                <w:rFonts w:ascii="方正黑体_GBK" w:hAnsi="方正黑体_GBK" w:eastAsia="方正黑体_GBK" w:cs="宋体"/>
                <w:sz w:val="18"/>
                <w:szCs w:val="18"/>
              </w:rPr>
              <w:t>机构投资者投资起点金额1元人民币，以1元的整数倍递增；</w:t>
            </w:r>
          </w:p>
          <w:p w14:paraId="240B3FBB">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后续在符合监管政策规定的条件下，理财产品管理人有权对上述投资起点金额和递增金额进行调整，并进行信息披露。</w:t>
            </w:r>
          </w:p>
          <w:p w14:paraId="670BFDC5">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4CE2534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38787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649EF438">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19C7D5A2">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07FAC4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DD2D6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7B68CC23">
            <w:pPr>
              <w:spacing w:line="200" w:lineRule="exact"/>
            </w:pPr>
            <w:r>
              <w:rPr>
                <w:rFonts w:ascii="方正黑体_GBK" w:hAnsi="方正黑体_GBK" w:eastAsia="方正黑体_GBK" w:cs="宋体"/>
                <w:color w:val="000000"/>
                <w:sz w:val="18"/>
                <w:szCs w:val="18"/>
              </w:rPr>
              <w:t>2025年07月24日 09:00—2025年07月30日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2D5FAC4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25D13D">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3D4A464B">
            <w:pPr>
              <w:spacing w:line="200" w:lineRule="exact"/>
            </w:pPr>
            <w:r>
              <w:rPr>
                <w:rFonts w:ascii="方正黑体_GBK" w:hAnsi="方正黑体_GBK" w:eastAsia="方正黑体_GBK" w:cs="宋体"/>
                <w:sz w:val="18"/>
                <w:szCs w:val="18"/>
              </w:rPr>
              <w:t>认购份额=确认认购金额/1。（认购份额以去尾法保留两位小数）</w:t>
            </w:r>
          </w:p>
        </w:tc>
      </w:tr>
      <w:tr w14:paraId="372A92E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3AF2BD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理财封闭期</w:t>
            </w:r>
          </w:p>
        </w:tc>
        <w:tc>
          <w:tcPr>
            <w:tcW w:w="5543" w:type="dxa"/>
            <w:tcBorders>
              <w:top w:val="single" w:color="auto" w:sz="4" w:space="0"/>
              <w:left w:val="nil"/>
              <w:bottom w:val="single" w:color="auto" w:sz="4" w:space="0"/>
              <w:right w:val="single" w:color="auto" w:sz="4" w:space="0"/>
              <w:tl2br w:val="nil"/>
              <w:tr2bl w:val="nil"/>
            </w:tcBorders>
            <w:vAlign w:val="center"/>
          </w:tcPr>
          <w:p w14:paraId="56591785">
            <w:pPr>
              <w:spacing w:line="200" w:lineRule="exact"/>
            </w:pPr>
            <w:r>
              <w:rPr>
                <w:rFonts w:ascii="方正黑体_GBK" w:hAnsi="方正黑体_GBK" w:eastAsia="方正黑体_GBK" w:cs="宋体"/>
                <w:sz w:val="18"/>
                <w:szCs w:val="18"/>
              </w:rPr>
              <w:t>本理财产品每期封闭期为一年，当期封闭期起止时间以信息披露为准</w:t>
            </w:r>
            <w:r>
              <w:rPr>
                <w:rFonts w:ascii="方正黑体_GBK" w:hAnsi="方正黑体_GBK" w:eastAsia="方正黑体_GBK" w:cs="宋体"/>
                <w:color w:val="000000"/>
                <w:sz w:val="18"/>
                <w:szCs w:val="18"/>
              </w:rPr>
              <w:t>。</w:t>
            </w:r>
          </w:p>
        </w:tc>
      </w:tr>
      <w:tr w14:paraId="6646245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9CE1A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40B8509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E495CE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3AE12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3ABE8858">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2025年07月31日</w:t>
            </w:r>
          </w:p>
        </w:tc>
      </w:tr>
      <w:tr w14:paraId="1C791D2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E9920F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06449A00">
            <w:pPr>
              <w:spacing w:line="200" w:lineRule="exact"/>
            </w:pPr>
            <w:r>
              <w:rPr>
                <w:rFonts w:ascii="方正黑体_GBK" w:hAnsi="方正黑体_GBK" w:eastAsia="方正黑体_GBK" w:cs="宋体"/>
                <w:sz w:val="18"/>
                <w:szCs w:val="18"/>
              </w:rPr>
              <w:t>2025年07月31日—实际到期日（若本理财产品未被提前终止或延期终止，则实际到期日即为名义到期日，存续期限10年；若本理财产品被提前终止或延期终止，则实际到期日为提前终止日或延期终止日。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eastAsia="方正黑体_GBK" w:cs="宋体"/>
                <w:b/>
                <w:sz w:val="18"/>
                <w:szCs w:val="18"/>
              </w:rPr>
              <w:t>理财产品管理人有权根据市场变化情况调整产品存续期，届时管理人将调整相关日期并进行信息披露。）</w:t>
            </w:r>
          </w:p>
        </w:tc>
      </w:tr>
      <w:tr w14:paraId="397BFF9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C03E4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1B7631D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2035年12月28日</w:t>
            </w:r>
            <w:r>
              <w:rPr>
                <w:rFonts w:hint="eastAsia" w:ascii="方正黑体_GBK" w:hAnsi="方正黑体_GBK" w:eastAsia="方正黑体_GBK"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方正黑体_GBK" w:hAnsi="方正黑体_GBK" w:eastAsia="方正黑体_GBK"/>
                <w:b/>
                <w:bCs/>
                <w:caps w:val="0"/>
                <w:smallCaps w:val="0"/>
                <w:snapToGrid/>
                <w:vanish w:val="0"/>
                <w:color w:val="auto"/>
                <w:kern w:val="0"/>
                <w:sz w:val="18"/>
                <w:szCs w:val="18"/>
                <w:vertAlign w:val="baseline"/>
              </w:rPr>
              <w:t>信息披露</w:t>
            </w:r>
            <w:r>
              <w:rPr>
                <w:rFonts w:hint="eastAsia" w:ascii="方正黑体_GBK" w:hAnsi="方正黑体_GBK" w:eastAsia="方正黑体_GBK" w:cs="Times New Roman"/>
                <w:b/>
                <w:bCs/>
                <w:caps w:val="0"/>
                <w:smallCaps w:val="0"/>
                <w:snapToGrid/>
                <w:vanish w:val="0"/>
                <w:color w:val="auto"/>
                <w:kern w:val="0"/>
                <w:sz w:val="18"/>
                <w:szCs w:val="18"/>
                <w:vertAlign w:val="baseline"/>
              </w:rPr>
              <w:t>）</w:t>
            </w:r>
          </w:p>
        </w:tc>
      </w:tr>
      <w:tr w14:paraId="2B21D03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7EC7B70">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469753CA">
            <w:pPr>
              <w:spacing w:line="200" w:lineRule="exact"/>
            </w:pPr>
            <w:r>
              <w:rPr>
                <w:rFonts w:ascii="方正黑体_GBK" w:hAnsi="方正黑体_GBK" w:eastAsia="方正黑体_GBK" w:cs="宋体"/>
                <w:sz w:val="18"/>
                <w:szCs w:val="18"/>
              </w:rPr>
              <w:t>本理财产品存续期内按年开放申购，如遇节假日调整，申购开放日和申购确认日以公告为准。</w:t>
            </w:r>
          </w:p>
        </w:tc>
      </w:tr>
      <w:tr w14:paraId="4D1D322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6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AC0B243">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赎回开放日和确认日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0A2CB4A9">
            <w:pPr>
              <w:spacing w:line="200" w:lineRule="exact"/>
            </w:pPr>
            <w:r>
              <w:rPr>
                <w:rFonts w:ascii="方正黑体_GBK" w:hAnsi="方正黑体_GBK" w:eastAsia="方正黑体_GBK" w:cs="宋体"/>
                <w:sz w:val="18"/>
                <w:szCs w:val="18"/>
              </w:rPr>
              <w:t>本理财产品存续期内按年开放赎回，如遇节假日调整，赎回开放日和赎回确认日以公告为准，投资者可提交赎回申请，系统不自动赎回。产品终止时，产品将对所有份额进行强制赎回。</w:t>
            </w:r>
          </w:p>
        </w:tc>
      </w:tr>
      <w:tr w14:paraId="5407D39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6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93B65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申购/赎回规则</w:t>
            </w:r>
          </w:p>
        </w:tc>
        <w:tc>
          <w:tcPr>
            <w:tcW w:w="5543" w:type="dxa"/>
            <w:tcBorders>
              <w:top w:val="single" w:color="auto" w:sz="4" w:space="0"/>
              <w:left w:val="nil"/>
              <w:bottom w:val="single" w:color="auto" w:sz="4" w:space="0"/>
              <w:right w:val="single" w:color="auto" w:sz="4" w:space="0"/>
              <w:tl2br w:val="nil"/>
              <w:tr2bl w:val="nil"/>
            </w:tcBorders>
            <w:vAlign w:val="center"/>
          </w:tcPr>
          <w:p w14:paraId="2A79A4C6">
            <w:pPr>
              <w:spacing w:line="200" w:lineRule="exact"/>
            </w:pPr>
            <w:r>
              <w:rPr>
                <w:rFonts w:ascii="方正黑体_GBK" w:hAnsi="方正黑体_GBK" w:eastAsia="方正黑体_GBK" w:cs="宋体"/>
                <w:sz w:val="18"/>
                <w:szCs w:val="18"/>
              </w:rPr>
              <w:t>A份额/F份额：本次开放期为2025年7月24日9：00至2025年7月30日17：00,下一个开放期为2026年8月6日9：00至2026年8月12日17：00，投资者可以提交或撤销申购/赎回申请。</w:t>
            </w:r>
          </w:p>
          <w:p w14:paraId="7306D964">
            <w:pPr>
              <w:spacing w:line="200" w:lineRule="exact"/>
            </w:pPr>
            <w:r>
              <w:rPr>
                <w:rFonts w:ascii="方正黑体_GBK" w:hAnsi="方正黑体_GBK" w:eastAsia="方正黑体_GBK" w:cs="宋体"/>
                <w:sz w:val="18"/>
                <w:szCs w:val="18"/>
              </w:rPr>
              <w:t>B份额/C份额/D份额/E份额/G份额/M份额/N份额：本次开放期为2025年7月24日9：00至2025年7月30日17：00，投资者可以提交或撤销认/申购申请；确认成功的份额均将于下一个开放期（2026年8月6日9：00至2026年8月12日17：00）由系统自动发起赎回申请。</w:t>
            </w:r>
          </w:p>
          <w:p w14:paraId="4DFC8C6B">
            <w:pPr>
              <w:spacing w:line="200" w:lineRule="exact"/>
            </w:pPr>
            <w:r>
              <w:rPr>
                <w:rFonts w:ascii="方正黑体_GBK" w:hAnsi="方正黑体_GBK" w:eastAsia="方正黑体_GBK" w:cs="宋体"/>
                <w:sz w:val="18"/>
                <w:szCs w:val="18"/>
              </w:rPr>
              <w:t>产品开放期如有调整以管理人公告为准。</w:t>
            </w:r>
          </w:p>
          <w:p w14:paraId="25D3417B">
            <w:pPr>
              <w:spacing w:line="200" w:lineRule="exact"/>
            </w:pPr>
            <w:r>
              <w:rPr>
                <w:rFonts w:ascii="方正黑体_GBK" w:hAnsi="方正黑体_GBK" w:eastAsia="方正黑体_GBK" w:cs="宋体"/>
                <w:sz w:val="18"/>
                <w:szCs w:val="18"/>
              </w:rPr>
              <w:t>在销售机构支持的前提下，认购/申购/赎回开放期末日17:00前可以撤销申购/赎回申请。</w:t>
            </w:r>
          </w:p>
          <w:p w14:paraId="1E53BA6E">
            <w:pPr>
              <w:spacing w:line="200" w:lineRule="exact"/>
            </w:pPr>
            <w:r>
              <w:rPr>
                <w:rFonts w:ascii="方正黑体_GBK" w:hAnsi="方正黑体_GBK" w:eastAsia="方正黑体_GBK" w:cs="宋体"/>
                <w:sz w:val="18"/>
                <w:szCs w:val="18"/>
              </w:rPr>
              <w:t>代销机构可根据其销售需要在管理人设定的申购/赎回时间范围内对申购/赎回时间进行重新设定，投资者通过代销机构购买本理财产品的，以该代销机构最终披露的时间为准。</w:t>
            </w:r>
          </w:p>
        </w:tc>
      </w:tr>
      <w:tr w14:paraId="345B96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8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BB2CB5B">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w:t>
            </w:r>
            <w:r>
              <w:rPr>
                <w:rFonts w:hint="eastAsia" w:ascii="方正黑体_GBK" w:hAnsi="方正黑体_GBK" w:eastAsia="方正黑体_GBK"/>
                <w:caps w:val="0"/>
                <w:smallCaps w:val="0"/>
                <w:snapToGrid/>
                <w:vanish w:val="0"/>
                <w:color w:val="auto"/>
                <w:kern w:val="0"/>
                <w:sz w:val="18"/>
                <w:szCs w:val="18"/>
                <w:vertAlign w:val="baseline"/>
              </w:rPr>
              <w:t>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92F4F2D">
            <w:pPr>
              <w:spacing w:line="200" w:lineRule="exact"/>
            </w:pPr>
            <w:r>
              <w:rPr>
                <w:rFonts w:ascii="方正黑体_GBK" w:hAnsi="方正黑体_GBK" w:eastAsia="方正黑体_GBK" w:cs="宋体"/>
                <w:sz w:val="18"/>
                <w:szCs w:val="18"/>
              </w:rPr>
              <w:t>申购份额=确认申购金额/S。S为申购确认日理财产品单位净值（已扣除相关费用）。申购份额以去尾法保留两位小数。</w:t>
            </w:r>
          </w:p>
        </w:tc>
      </w:tr>
      <w:tr w14:paraId="54A86AC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B903C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赎回金额计算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79439CB8">
            <w:pPr>
              <w:spacing w:line="200" w:lineRule="exact"/>
            </w:pPr>
            <w:r>
              <w:rPr>
                <w:rFonts w:ascii="方正黑体_GBK" w:hAnsi="方正黑体_GBK" w:eastAsia="方正黑体_GBK" w:cs="宋体"/>
                <w:sz w:val="18"/>
                <w:szCs w:val="18"/>
              </w:rPr>
              <w:t>赎回金额=确认赎回份额×R。 R为赎回确认日理财产品单位净值（已扣除相关费用，赎回金额以去尾法保留两位小数）</w:t>
            </w:r>
          </w:p>
        </w:tc>
      </w:tr>
      <w:tr w14:paraId="64B3C7C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129752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77B33E45">
            <w:pPr>
              <w:spacing w:line="200" w:lineRule="exact"/>
            </w:pPr>
            <w:r>
              <w:rPr>
                <w:rFonts w:ascii="方正黑体_GBK" w:hAnsi="方正黑体_GBK" w:eastAsia="方正黑体_GBK" w:cs="宋体"/>
                <w:color w:val="000000"/>
                <w:sz w:val="18"/>
                <w:szCs w:val="18"/>
              </w:rPr>
              <w:t>到期兑付金额=到期时持有份额×P。 P为期末理财产品单位净值。（已扣除相关费用，到期兑付金额以去尾法保留两位小数）</w:t>
            </w:r>
          </w:p>
        </w:tc>
      </w:tr>
      <w:tr w14:paraId="0E099B8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B563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43A9349C">
            <w:pPr>
              <w:spacing w:line="200" w:lineRule="exact"/>
            </w:pPr>
            <w:r>
              <w:rPr>
                <w:rFonts w:ascii="方正黑体_GBK" w:hAnsi="方正黑体_GBK" w:eastAsia="方正黑体_GBK" w:cs="宋体"/>
                <w:sz w:val="18"/>
                <w:szCs w:val="18"/>
              </w:rPr>
              <w:t>当理财产品单位净值不低于1时，管理人可以根据实际情况进行收益分配，分配方式为现金分红，具体分配方案以信息披露为准（分配后理财产品净值不低于1）。</w:t>
            </w:r>
          </w:p>
          <w:p w14:paraId="0B52E66B">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595380E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F7352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0CB3AF82">
            <w:pPr>
              <w:spacing w:line="200" w:lineRule="exact"/>
              <w:jc w:val="left"/>
            </w:pPr>
            <w:r>
              <w:rPr>
                <w:rFonts w:ascii="方正黑体_GBK" w:hAnsi="方正黑体_GBK" w:eastAsia="方正黑体_GBK" w:cs="宋体"/>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14:paraId="1358D084">
            <w:pPr>
              <w:spacing w:line="200" w:lineRule="exact"/>
              <w:jc w:val="left"/>
            </w:pPr>
            <w:r>
              <w:rPr>
                <w:rFonts w:ascii="方正黑体_GBK" w:hAnsi="方正黑体_GBK" w:eastAsia="方正黑体_GBK" w:cs="宋体"/>
                <w:sz w:val="18"/>
                <w:szCs w:val="18"/>
              </w:rPr>
              <w:t>分红权益登记日指管理人确认投资者所持份额是否享受本次分红的日期。</w:t>
            </w:r>
          </w:p>
        </w:tc>
      </w:tr>
      <w:tr w14:paraId="0C5CF45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A05DD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17423536">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6ECBD7B6">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20125E61">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32A5C090">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4C04FF7F">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369B8EF0">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3EA70213">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14AB5E5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4835F7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1247ED16">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0E24BBF1">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0CF01B9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6CAC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2962E6EF">
            <w:pPr>
              <w:spacing w:line="200" w:lineRule="exact"/>
            </w:pPr>
            <w:r>
              <w:rPr>
                <w:rFonts w:ascii="方正黑体_GBK" w:hAnsi="方正黑体_GBK" w:eastAsia="方正黑体_GBK" w:cs="宋体"/>
                <w:sz w:val="18"/>
                <w:szCs w:val="18"/>
              </w:rPr>
              <w:t>本理财产品通过对宏观经济、政策环境、市场状况和资金供求的深入分析，对所投资产行业和品种的深入分析，自上而下进行积极主动的资产配置，构建合理的投资组合方案。力争控制回撤幅度，追求稳健的投资回报。</w:t>
            </w:r>
          </w:p>
        </w:tc>
      </w:tr>
      <w:tr w14:paraId="3D277A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763E881">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4E953142">
            <w:pPr>
              <w:spacing w:line="200" w:lineRule="exact"/>
            </w:pPr>
            <w:r>
              <w:rPr>
                <w:rFonts w:ascii="方正黑体_GBK" w:hAnsi="方正黑体_GBK" w:eastAsia="方正黑体_GBK" w:cs="宋体"/>
                <w:b/>
                <w:sz w:val="18"/>
                <w:szCs w:val="18"/>
              </w:rPr>
              <w:t>本理财产品拟投资以下备选非标准化债权类资产：</w:t>
            </w:r>
          </w:p>
          <w:p w14:paraId="1652DFBE">
            <w:pPr>
              <w:spacing w:line="200" w:lineRule="exact"/>
            </w:pPr>
            <w:r>
              <w:rPr>
                <w:rFonts w:ascii="方正黑体_GBK" w:hAnsi="方正黑体_GBK" w:eastAsia="方正黑体_GBK" w:cs="宋体"/>
                <w:color w:val="000000"/>
                <w:sz w:val="18"/>
                <w:szCs w:val="18"/>
              </w:rPr>
              <w:t>(1)信托贷款：资产类型为信托公司设立的资金信托计划，底层资产为京东及信托公司双重审核、信托公司自主风控后发放的“白条”个人消费贷款债权，资产到期日不超过理财产品最近一次开放日。</w:t>
            </w:r>
          </w:p>
          <w:p w14:paraId="74F7177C">
            <w:pPr>
              <w:spacing w:line="200" w:lineRule="exact"/>
            </w:pPr>
            <w:r>
              <w:rPr>
                <w:rFonts w:ascii="方正黑体_GBK" w:hAnsi="方正黑体_GBK" w:eastAsia="方正黑体_GBK" w:cs="宋体"/>
                <w:color w:val="000000"/>
                <w:sz w:val="18"/>
                <w:szCs w:val="18"/>
              </w:rPr>
              <w:t>(2)信托贷款：资产类型为信托公司设立的资金信托计划，底层资产为京东及信托公司双重审核、信托公司自主风控后发放的“金条”个人消费贷款债权，资产到期日不超过理财产品最近一次开放日。</w:t>
            </w:r>
          </w:p>
          <w:p w14:paraId="55F266A7">
            <w:pPr>
              <w:spacing w:line="200" w:lineRule="exact"/>
            </w:pPr>
            <w:r>
              <w:rPr>
                <w:rFonts w:ascii="方正黑体_GBK" w:hAnsi="方正黑体_GBK" w:eastAsia="方正黑体_GBK" w:cs="宋体"/>
                <w:color w:val="000000"/>
                <w:sz w:val="18"/>
                <w:szCs w:val="18"/>
              </w:rPr>
              <w:t>(3)信托贷款：资产类型为信托公司设立的资金信托计划，底层资产为京东及信托公司双重审核、信托公司自主风控后发放的“白条取现”个人消费贷款债权，资产到期日不超过理财产品最近一次开放日。</w:t>
            </w:r>
          </w:p>
          <w:p w14:paraId="01BAA5F3">
            <w:pPr>
              <w:spacing w:line="200" w:lineRule="exact"/>
            </w:pPr>
            <w:r>
              <w:rPr>
                <w:rFonts w:ascii="方正黑体_GBK" w:hAnsi="方正黑体_GBK" w:eastAsia="方正黑体_GBK" w:cs="宋体"/>
                <w:color w:val="000000"/>
                <w:sz w:val="18"/>
                <w:szCs w:val="18"/>
              </w:rPr>
              <w:t>(4)资产支持计划：资产类型为保险资产管理公司设立的资产支持计划，底层资产为京东及信托公司双重审核、信托公司自主风控后发放的“白条”个人消费贷款债权，资产到期日不超过理财产品最近一次开放日，仅投资优先级。</w:t>
            </w:r>
          </w:p>
          <w:p w14:paraId="12F8BEA1">
            <w:pPr>
              <w:spacing w:line="200" w:lineRule="exact"/>
            </w:pPr>
            <w:r>
              <w:rPr>
                <w:rFonts w:ascii="方正黑体_GBK" w:hAnsi="方正黑体_GBK" w:eastAsia="方正黑体_GBK" w:cs="宋体"/>
                <w:color w:val="000000"/>
                <w:sz w:val="18"/>
                <w:szCs w:val="18"/>
              </w:rPr>
              <w:t>(5)资产支持计划：资产类型为保险资产管理公司设立的资产支持计划，底层资产为京东及信托公司双重审核、信托公司自主风控后发放的“金条”个人消费贷款债权，资产到期日不超过理财产品最近一次开放日，仅投资优先级。</w:t>
            </w:r>
          </w:p>
          <w:p w14:paraId="075D4C0E">
            <w:pPr>
              <w:spacing w:line="200" w:lineRule="exact"/>
            </w:pPr>
            <w:r>
              <w:rPr>
                <w:rFonts w:ascii="方正黑体_GBK" w:hAnsi="方正黑体_GBK" w:eastAsia="方正黑体_GBK" w:cs="宋体"/>
                <w:color w:val="000000"/>
                <w:sz w:val="18"/>
                <w:szCs w:val="18"/>
              </w:rPr>
              <w:t>(6)资产支持计划：资产类型为保险资产管理公司设立的资产支持计划，底层资产为京东及信托公司双重审核、信托公司自主风控后发放的“白条取现”个人消费贷款债权，资产到期日不超过理财产品最近一次开放日，仅投资优先级。</w:t>
            </w:r>
          </w:p>
          <w:p w14:paraId="6917D1E6">
            <w:pPr>
              <w:spacing w:line="200" w:lineRule="exact"/>
            </w:pPr>
            <w:r>
              <w:rPr>
                <w:rFonts w:ascii="方正黑体_GBK" w:hAnsi="方正黑体_GBK" w:eastAsia="方正黑体_GBK" w:cs="宋体"/>
                <w:color w:val="000000"/>
                <w:sz w:val="18"/>
                <w:szCs w:val="18"/>
              </w:rPr>
              <w:t>(7)信托贷款：资产类型为信托公司设立的资金信托计划，底层资产为抖音及信托公司双重审核、信托公司自主风控后发放的“月付”个人消费贷款债权，资产到期日不超过理财产品最近一次开放日。</w:t>
            </w:r>
          </w:p>
          <w:p w14:paraId="666FF9B9">
            <w:pPr>
              <w:spacing w:line="200" w:lineRule="exact"/>
            </w:pPr>
            <w:r>
              <w:rPr>
                <w:rFonts w:ascii="方正黑体_GBK" w:hAnsi="方正黑体_GBK" w:eastAsia="方正黑体_GBK" w:cs="宋体"/>
                <w:color w:val="000000"/>
                <w:sz w:val="18"/>
                <w:szCs w:val="18"/>
              </w:rPr>
              <w:t>(8)信托贷款：资产类型为信托公司设立的资金信托计划，底层资产为抖音及信托公司双重审核、信托公司自主风控后发放的“放心借”贷款资产，资产到期日不超过理财产品最近一次开放日。</w:t>
            </w:r>
          </w:p>
          <w:p w14:paraId="1F80A5DF">
            <w:pPr>
              <w:spacing w:line="200" w:lineRule="exact"/>
            </w:pPr>
            <w:r>
              <w:rPr>
                <w:rFonts w:ascii="方正黑体_GBK" w:hAnsi="方正黑体_GBK" w:eastAsia="方正黑体_GBK" w:cs="宋体"/>
                <w:color w:val="000000"/>
                <w:sz w:val="18"/>
                <w:szCs w:val="18"/>
              </w:rPr>
              <w:t>(9)资产支持计划：资产类型为保险资产管理公司设立的资产支持计划，底层资产为抖音及信托公司双重审核、信托公司自主风控后发放的“月付”个人消费贷款债权，资产到期日不超过理财产品最近一次开放日，仅投资优先级。</w:t>
            </w:r>
          </w:p>
          <w:p w14:paraId="222ED358">
            <w:pPr>
              <w:spacing w:line="200" w:lineRule="exact"/>
            </w:pPr>
            <w:r>
              <w:rPr>
                <w:rFonts w:ascii="方正黑体_GBK" w:hAnsi="方正黑体_GBK" w:eastAsia="方正黑体_GBK" w:cs="宋体"/>
                <w:color w:val="000000"/>
                <w:sz w:val="18"/>
                <w:szCs w:val="18"/>
              </w:rPr>
              <w:t>(10)资产支持计划：资产类型为保险资产管理公司设立的资产支持计划，底层资产为抖音及信托公司双重审核、信托公司自主风控后发放的“放心借”贷款资产，资产到期日不超过理财产品最近一次开放日，仅投资优先级。</w:t>
            </w:r>
          </w:p>
          <w:p w14:paraId="59EFA1B0">
            <w:pPr>
              <w:spacing w:line="200" w:lineRule="exact"/>
            </w:pPr>
            <w:r>
              <w:rPr>
                <w:rFonts w:ascii="方正黑体_GBK" w:hAnsi="方正黑体_GBK" w:eastAsia="方正黑体_GBK" w:cs="宋体"/>
                <w:color w:val="000000"/>
                <w:sz w:val="18"/>
                <w:szCs w:val="18"/>
              </w:rPr>
              <w:t>(11)信托贷款：资产类型为信托公司设立的资金信托计划，底层资产为蚂蚁及信托公司双重审核、信托公司自主风控后发放的“花呗”个人消费贷款债权，资产到期日不超过理财产品最近一次开放日。</w:t>
            </w:r>
          </w:p>
          <w:p w14:paraId="2D614E5C">
            <w:pPr>
              <w:spacing w:line="200" w:lineRule="exact"/>
            </w:pPr>
            <w:r>
              <w:rPr>
                <w:rFonts w:ascii="方正黑体_GBK" w:hAnsi="方正黑体_GBK" w:eastAsia="方正黑体_GBK" w:cs="宋体"/>
                <w:color w:val="000000"/>
                <w:sz w:val="18"/>
                <w:szCs w:val="18"/>
              </w:rPr>
              <w:t>(12)信托贷款：资产类型为信托公司设立的资金信托计划，底层资产为蚂蚁及信托公司双重审核、信托公司自主风控后发放的“借呗”个人消费贷款债权，资产到期日不超过理财产品最近一次开放日。</w:t>
            </w:r>
          </w:p>
          <w:p w14:paraId="2DC1483D">
            <w:pPr>
              <w:spacing w:line="200" w:lineRule="exact"/>
            </w:pPr>
            <w:r>
              <w:rPr>
                <w:rFonts w:ascii="方正黑体_GBK" w:hAnsi="方正黑体_GBK" w:eastAsia="方正黑体_GBK" w:cs="宋体"/>
                <w:color w:val="000000"/>
                <w:sz w:val="18"/>
                <w:szCs w:val="18"/>
              </w:rPr>
              <w:t>(13)资产支持计划：资产类型为保险资产管理公司设立的资产支持计划，底层资产为蚂蚁及信托公司双重审核、信托公司自主风控后发放的“花呗”个人消费贷款债权，资产到期日不超过理财产品最近一次开放日，仅投资优先级。</w:t>
            </w:r>
          </w:p>
          <w:p w14:paraId="598E4941">
            <w:pPr>
              <w:spacing w:line="200" w:lineRule="exact"/>
            </w:pPr>
            <w:r>
              <w:rPr>
                <w:rFonts w:ascii="方正黑体_GBK" w:hAnsi="方正黑体_GBK" w:eastAsia="方正黑体_GBK" w:cs="宋体"/>
                <w:color w:val="000000"/>
                <w:sz w:val="18"/>
                <w:szCs w:val="18"/>
              </w:rPr>
              <w:t>(14)资产支持计划：资产类型为保险资产管理公司设立的资产支持计划，底层资产为蚂蚁及信托公司双重审核、信托公司自主风控后发放的“借呗”个人消费贷款债权，资产到期日不超过理财产品最近一次开放日，仅投资优先级。</w:t>
            </w:r>
          </w:p>
          <w:p w14:paraId="17D686AE">
            <w:pPr>
              <w:spacing w:line="200" w:lineRule="exact"/>
            </w:pPr>
            <w:r>
              <w:rPr>
                <w:rFonts w:ascii="方正黑体_GBK" w:hAnsi="方正黑体_GBK" w:eastAsia="方正黑体_GBK" w:cs="宋体"/>
                <w:color w:val="000000"/>
                <w:sz w:val="18"/>
                <w:szCs w:val="18"/>
              </w:rPr>
              <w:t>(15)信托贷款：资产类型为信托公司设立的资金信托计划，底层资产为微信及信托公司双重审核、信托公司自主风控后发放的“分付”个人消费贷款债权，资产到期日不超过理财产品最近一次开放日。</w:t>
            </w:r>
          </w:p>
          <w:p w14:paraId="39E7C20F">
            <w:pPr>
              <w:spacing w:line="200" w:lineRule="exact"/>
            </w:pPr>
            <w:r>
              <w:rPr>
                <w:rFonts w:ascii="方正黑体_GBK" w:hAnsi="方正黑体_GBK" w:eastAsia="方正黑体_GBK" w:cs="宋体"/>
                <w:sz w:val="18"/>
                <w:szCs w:val="18"/>
              </w:rPr>
              <w:t>(16)信托贷款：资产类型为信托公司设立的资金信托计划，底层资产为度小满及信托公司双重审核、信托公司自主风控后发放的“满易贷”个人消费贷款债权，资产到期日不超过理财产品最近一次开放日。</w:t>
            </w:r>
          </w:p>
          <w:p w14:paraId="4BA3F5D9">
            <w:pPr>
              <w:spacing w:line="200" w:lineRule="exact"/>
            </w:pPr>
            <w:r>
              <w:rPr>
                <w:rFonts w:ascii="方正黑体_GBK" w:hAnsi="方正黑体_GBK" w:eastAsia="方正黑体_GBK" w:cs="宋体"/>
                <w:b/>
                <w:sz w:val="18"/>
                <w:szCs w:val="18"/>
              </w:rPr>
              <w:t>以上资产剩余期限均不超过产品期限。</w:t>
            </w:r>
            <w:r>
              <w:rPr>
                <w:rFonts w:ascii="方正黑体_GBK" w:hAnsi="方正黑体_GBK" w:eastAsia="方正黑体_GBK"/>
              </w:rPr>
              <w:br w:type="textWrapping"/>
            </w:r>
            <w:r>
              <w:rPr>
                <w:rFonts w:ascii="方正黑体_GBK" w:hAnsi="方正黑体_GBK" w:eastAsia="方正黑体_GBK" w:cs="宋体"/>
                <w:b/>
                <w:sz w:val="18"/>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14:paraId="692BDA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E6DBA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7B597F3F">
            <w:pPr>
              <w:spacing w:line="200" w:lineRule="exact"/>
            </w:pPr>
            <w:r>
              <w:rPr>
                <w:rFonts w:ascii="方正黑体_GBK" w:hAnsi="方正黑体_GBK" w:eastAsia="方正黑体_GBK" w:cs="宋体"/>
                <w:sz w:val="18"/>
                <w:szCs w:val="18"/>
              </w:rPr>
              <w:t>A份额：业绩比较基准为年化2.7%-3% 。</w:t>
            </w:r>
          </w:p>
          <w:p w14:paraId="3956708E">
            <w:pPr>
              <w:spacing w:line="200" w:lineRule="exact"/>
            </w:pPr>
            <w:r>
              <w:rPr>
                <w:rFonts w:ascii="方正黑体_GBK" w:hAnsi="方正黑体_GBK" w:eastAsia="方正黑体_GBK" w:cs="宋体"/>
                <w:sz w:val="18"/>
                <w:szCs w:val="18"/>
              </w:rPr>
              <w:t>B份额：业绩比较基准为年化2.7%-3% 。</w:t>
            </w:r>
          </w:p>
          <w:p w14:paraId="5811EDE8">
            <w:pPr>
              <w:spacing w:line="200" w:lineRule="exact"/>
            </w:pPr>
            <w:r>
              <w:rPr>
                <w:rFonts w:ascii="方正黑体_GBK" w:hAnsi="方正黑体_GBK" w:eastAsia="方正黑体_GBK" w:cs="宋体"/>
                <w:sz w:val="18"/>
                <w:szCs w:val="18"/>
              </w:rPr>
              <w:t>C份额：业绩比较基准为年化2.8%-3.1% 。</w:t>
            </w:r>
          </w:p>
          <w:p w14:paraId="0EB84997">
            <w:pPr>
              <w:spacing w:line="200" w:lineRule="exact"/>
            </w:pPr>
            <w:r>
              <w:rPr>
                <w:rFonts w:ascii="方正黑体_GBK" w:hAnsi="方正黑体_GBK" w:eastAsia="方正黑体_GBK" w:cs="宋体"/>
                <w:sz w:val="18"/>
                <w:szCs w:val="18"/>
              </w:rPr>
              <w:t>D份额：业绩比较基准为年化2.85%-3.15% 。</w:t>
            </w:r>
          </w:p>
          <w:p w14:paraId="2E11F4DC">
            <w:pPr>
              <w:spacing w:line="200" w:lineRule="exact"/>
            </w:pPr>
            <w:r>
              <w:rPr>
                <w:rFonts w:ascii="方正黑体_GBK" w:hAnsi="方正黑体_GBK" w:eastAsia="方正黑体_GBK" w:cs="宋体"/>
                <w:sz w:val="18"/>
                <w:szCs w:val="18"/>
              </w:rPr>
              <w:t>E份额：业绩比较基准为年化2.95%-3.25% 。</w:t>
            </w:r>
          </w:p>
          <w:p w14:paraId="3180853C">
            <w:pPr>
              <w:spacing w:line="200" w:lineRule="exact"/>
            </w:pPr>
            <w:r>
              <w:rPr>
                <w:rFonts w:ascii="方正黑体_GBK" w:hAnsi="方正黑体_GBK" w:eastAsia="方正黑体_GBK" w:cs="宋体"/>
                <w:sz w:val="18"/>
                <w:szCs w:val="18"/>
              </w:rPr>
              <w:t>F份额：业绩比较基准为年化2.8%-3.1% 。</w:t>
            </w:r>
          </w:p>
          <w:p w14:paraId="4FCF1E03">
            <w:pPr>
              <w:spacing w:line="200" w:lineRule="exact"/>
            </w:pPr>
            <w:r>
              <w:rPr>
                <w:rFonts w:ascii="方正黑体_GBK" w:hAnsi="方正黑体_GBK" w:eastAsia="方正黑体_GBK" w:cs="宋体"/>
                <w:sz w:val="18"/>
                <w:szCs w:val="18"/>
              </w:rPr>
              <w:t>G份额：业绩比较基准为年化2.9%-3.2% 。</w:t>
            </w:r>
          </w:p>
          <w:p w14:paraId="5B109760">
            <w:pPr>
              <w:spacing w:line="200" w:lineRule="exact"/>
            </w:pPr>
            <w:r>
              <w:rPr>
                <w:rFonts w:ascii="方正黑体_GBK" w:hAnsi="方正黑体_GBK" w:eastAsia="方正黑体_GBK" w:cs="宋体"/>
                <w:sz w:val="18"/>
                <w:szCs w:val="18"/>
              </w:rPr>
              <w:t>M份额：业绩比较基准为年化2.7%-3% 。</w:t>
            </w:r>
          </w:p>
          <w:p w14:paraId="76265A8D">
            <w:pPr>
              <w:spacing w:line="200" w:lineRule="exact"/>
            </w:pPr>
            <w:r>
              <w:rPr>
                <w:rFonts w:ascii="方正黑体_GBK" w:hAnsi="方正黑体_GBK" w:eastAsia="方正黑体_GBK" w:cs="宋体"/>
                <w:sz w:val="18"/>
                <w:szCs w:val="18"/>
              </w:rPr>
              <w:t>N份额：业绩比较基准为年化3%-3.3% 。</w:t>
            </w:r>
          </w:p>
          <w:p w14:paraId="104BB898">
            <w:pPr>
              <w:spacing w:line="200" w:lineRule="exact"/>
              <w:jc w:val="lef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业绩比较基准。</w:t>
            </w:r>
          </w:p>
          <w:p w14:paraId="07682DFB">
            <w:pPr>
              <w:spacing w:line="200" w:lineRule="exact"/>
              <w:jc w:val="left"/>
            </w:pPr>
            <w:r>
              <w:rPr>
                <w:rFonts w:ascii="方正黑体_GBK" w:hAnsi="方正黑体_GBK" w:eastAsia="方正黑体_GBK" w:cs="宋体"/>
                <w:sz w:val="18"/>
                <w:szCs w:val="18"/>
              </w:rPr>
              <w:t>注：管理人可根据市场情况对业绩比较基准进行适当调整，如有调整，将至少于调整前3个工作日公布调整方案。</w:t>
            </w:r>
          </w:p>
          <w:p w14:paraId="5090FE49">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57C4F5D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53158C">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6FA4BFAA">
            <w:pPr>
              <w:spacing w:line="200" w:lineRule="exact"/>
            </w:pPr>
            <w:r>
              <w:rPr>
                <w:rFonts w:ascii="方正黑体_GBK" w:hAnsi="方正黑体_GBK" w:eastAsia="方正黑体_GBK" w:cs="宋体"/>
                <w:b/>
                <w:sz w:val="18"/>
                <w:szCs w:val="18"/>
              </w:rPr>
              <w:t>认/申购费：本理财产品暂不收取认/申购费。</w:t>
            </w:r>
          </w:p>
          <w:p w14:paraId="79F66A9F">
            <w:pPr>
              <w:spacing w:line="200" w:lineRule="exact"/>
            </w:pPr>
            <w:r>
              <w:rPr>
                <w:rFonts w:ascii="方正黑体_GBK" w:hAnsi="方正黑体_GBK" w:eastAsia="方正黑体_GBK" w:cs="宋体"/>
                <w:b/>
                <w:sz w:val="18"/>
                <w:szCs w:val="18"/>
              </w:rPr>
              <w:t>赎回费：本理财产品暂不收取赎回费。</w:t>
            </w:r>
          </w:p>
          <w:p w14:paraId="2F60F1B9">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6FE24828">
            <w:pPr>
              <w:spacing w:line="200" w:lineRule="exact"/>
            </w:pPr>
            <w:r>
              <w:rPr>
                <w:rFonts w:ascii="方正黑体_GBK" w:hAnsi="方正黑体_GBK" w:eastAsia="方正黑体_GBK" w:cs="宋体"/>
                <w:b/>
                <w:sz w:val="18"/>
                <w:szCs w:val="18"/>
              </w:rPr>
              <w:t>A份额：销售费年化0.2%</w:t>
            </w:r>
          </w:p>
          <w:p w14:paraId="0947FD9B">
            <w:pPr>
              <w:spacing w:line="200" w:lineRule="exact"/>
            </w:pPr>
            <w:r>
              <w:rPr>
                <w:rFonts w:ascii="方正黑体_GBK" w:hAnsi="方正黑体_GBK" w:eastAsia="方正黑体_GBK" w:cs="宋体"/>
                <w:b/>
                <w:sz w:val="18"/>
                <w:szCs w:val="18"/>
              </w:rPr>
              <w:t>B份额：销售费年化0.2%</w:t>
            </w:r>
          </w:p>
          <w:p w14:paraId="3F9D4EB0">
            <w:pPr>
              <w:spacing w:line="200" w:lineRule="exact"/>
            </w:pPr>
            <w:r>
              <w:rPr>
                <w:rFonts w:ascii="方正黑体_GBK" w:hAnsi="方正黑体_GBK" w:eastAsia="方正黑体_GBK" w:cs="宋体"/>
                <w:b/>
                <w:sz w:val="18"/>
                <w:szCs w:val="18"/>
              </w:rPr>
              <w:t>C份额：销售费年化0.15%</w:t>
            </w:r>
          </w:p>
          <w:p w14:paraId="64770B8E">
            <w:pPr>
              <w:spacing w:line="200" w:lineRule="exact"/>
            </w:pPr>
            <w:r>
              <w:rPr>
                <w:rFonts w:ascii="方正黑体_GBK" w:hAnsi="方正黑体_GBK" w:eastAsia="方正黑体_GBK" w:cs="宋体"/>
                <w:b/>
                <w:sz w:val="18"/>
                <w:szCs w:val="18"/>
              </w:rPr>
              <w:t>D份额：销售费年化0.15%</w:t>
            </w:r>
          </w:p>
          <w:p w14:paraId="421BC07C">
            <w:pPr>
              <w:spacing w:line="200" w:lineRule="exact"/>
            </w:pPr>
            <w:r>
              <w:rPr>
                <w:rFonts w:ascii="方正黑体_GBK" w:hAnsi="方正黑体_GBK" w:eastAsia="方正黑体_GBK" w:cs="宋体"/>
                <w:b/>
                <w:sz w:val="18"/>
                <w:szCs w:val="18"/>
              </w:rPr>
              <w:t>E份额：销售费年化0.05%</w:t>
            </w:r>
          </w:p>
          <w:p w14:paraId="26B526C5">
            <w:pPr>
              <w:spacing w:line="200" w:lineRule="exact"/>
            </w:pPr>
            <w:r>
              <w:rPr>
                <w:rFonts w:ascii="方正黑体_GBK" w:hAnsi="方正黑体_GBK" w:eastAsia="方正黑体_GBK" w:cs="宋体"/>
                <w:b/>
                <w:sz w:val="18"/>
                <w:szCs w:val="18"/>
              </w:rPr>
              <w:t>F份额：销售费年化0.2%</w:t>
            </w:r>
          </w:p>
          <w:p w14:paraId="04B1BAF5">
            <w:pPr>
              <w:spacing w:line="200" w:lineRule="exact"/>
            </w:pPr>
            <w:r>
              <w:rPr>
                <w:rFonts w:ascii="方正黑体_GBK" w:hAnsi="方正黑体_GBK" w:eastAsia="方正黑体_GBK" w:cs="宋体"/>
                <w:b/>
                <w:sz w:val="18"/>
                <w:szCs w:val="18"/>
              </w:rPr>
              <w:t>G份额：销售费年化0.1%</w:t>
            </w:r>
          </w:p>
          <w:p w14:paraId="519EF712">
            <w:pPr>
              <w:spacing w:line="200" w:lineRule="exact"/>
            </w:pPr>
            <w:r>
              <w:rPr>
                <w:rFonts w:ascii="方正黑体_GBK" w:hAnsi="方正黑体_GBK" w:eastAsia="方正黑体_GBK" w:cs="宋体"/>
                <w:b/>
                <w:sz w:val="18"/>
                <w:szCs w:val="18"/>
              </w:rPr>
              <w:t>M份额：销售费年化0.2%</w:t>
            </w:r>
          </w:p>
          <w:p w14:paraId="52751838">
            <w:pPr>
              <w:spacing w:line="200" w:lineRule="exact"/>
            </w:pPr>
            <w:r>
              <w:rPr>
                <w:rFonts w:ascii="方正黑体_GBK" w:hAnsi="方正黑体_GBK" w:eastAsia="方正黑体_GBK" w:cs="宋体"/>
                <w:b/>
                <w:sz w:val="18"/>
                <w:szCs w:val="18"/>
              </w:rPr>
              <w:t>N份额：销售费年化0%</w:t>
            </w:r>
          </w:p>
          <w:p w14:paraId="4B3F5E73">
            <w:pPr>
              <w:spacing w:line="200" w:lineRule="exact"/>
            </w:pPr>
            <w:r>
              <w:rPr>
                <w:rFonts w:ascii="方正黑体_GBK" w:hAnsi="方正黑体_GBK" w:eastAsia="方正黑体_GBK" w:cs="宋体"/>
                <w:b/>
                <w:sz w:val="18"/>
                <w:szCs w:val="18"/>
              </w:rPr>
              <w:t>每日计提的销售费=前一日理财产品资产净值×年化销售费率÷365</w:t>
            </w:r>
          </w:p>
          <w:p w14:paraId="53642A95">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34D0281D">
            <w:pPr>
              <w:spacing w:line="200" w:lineRule="exact"/>
            </w:pPr>
            <w:r>
              <w:rPr>
                <w:rFonts w:ascii="方正黑体_GBK" w:hAnsi="方正黑体_GBK" w:eastAsia="方正黑体_GBK" w:cs="宋体"/>
                <w:b/>
                <w:sz w:val="18"/>
                <w:szCs w:val="18"/>
              </w:rPr>
              <w:t>A份额：固定管理费年化0.3%</w:t>
            </w:r>
          </w:p>
          <w:p w14:paraId="0A289B00">
            <w:pPr>
              <w:spacing w:line="200" w:lineRule="exact"/>
            </w:pPr>
            <w:r>
              <w:rPr>
                <w:rFonts w:ascii="方正黑体_GBK" w:hAnsi="方正黑体_GBK" w:eastAsia="方正黑体_GBK" w:cs="宋体"/>
                <w:b/>
                <w:sz w:val="18"/>
                <w:szCs w:val="18"/>
              </w:rPr>
              <w:t>B份额：固定管理费年化0.3%</w:t>
            </w:r>
          </w:p>
          <w:p w14:paraId="28C7906A">
            <w:pPr>
              <w:spacing w:line="200" w:lineRule="exact"/>
            </w:pPr>
            <w:r>
              <w:rPr>
                <w:rFonts w:ascii="方正黑体_GBK" w:hAnsi="方正黑体_GBK" w:eastAsia="方正黑体_GBK" w:cs="宋体"/>
                <w:b/>
                <w:sz w:val="18"/>
                <w:szCs w:val="18"/>
              </w:rPr>
              <w:t>C份额：固定管理费年化0.25%</w:t>
            </w:r>
          </w:p>
          <w:p w14:paraId="640B1ABE">
            <w:pPr>
              <w:spacing w:line="200" w:lineRule="exact"/>
            </w:pPr>
            <w:r>
              <w:rPr>
                <w:rFonts w:ascii="方正黑体_GBK" w:hAnsi="方正黑体_GBK" w:eastAsia="方正黑体_GBK" w:cs="宋体"/>
                <w:b/>
                <w:sz w:val="18"/>
                <w:szCs w:val="18"/>
              </w:rPr>
              <w:t>D份额：固定管理费年化0.2%</w:t>
            </w:r>
          </w:p>
          <w:p w14:paraId="4935AA89">
            <w:pPr>
              <w:spacing w:line="200" w:lineRule="exact"/>
            </w:pPr>
            <w:r>
              <w:rPr>
                <w:rFonts w:ascii="方正黑体_GBK" w:hAnsi="方正黑体_GBK" w:eastAsia="方正黑体_GBK" w:cs="宋体"/>
                <w:b/>
                <w:sz w:val="18"/>
                <w:szCs w:val="18"/>
              </w:rPr>
              <w:t>E份额：固定管理费年化0.2%</w:t>
            </w:r>
          </w:p>
          <w:p w14:paraId="213A283C">
            <w:pPr>
              <w:spacing w:line="200" w:lineRule="exact"/>
            </w:pPr>
            <w:r>
              <w:rPr>
                <w:rFonts w:ascii="方正黑体_GBK" w:hAnsi="方正黑体_GBK" w:eastAsia="方正黑体_GBK" w:cs="宋体"/>
                <w:b/>
                <w:sz w:val="18"/>
                <w:szCs w:val="18"/>
              </w:rPr>
              <w:t>F份额：固定管理费年化0.2%</w:t>
            </w:r>
          </w:p>
          <w:p w14:paraId="16AC0FC8">
            <w:pPr>
              <w:spacing w:line="200" w:lineRule="exact"/>
            </w:pPr>
            <w:r>
              <w:rPr>
                <w:rFonts w:ascii="方正黑体_GBK" w:hAnsi="方正黑体_GBK" w:eastAsia="方正黑体_GBK" w:cs="宋体"/>
                <w:b/>
                <w:sz w:val="18"/>
                <w:szCs w:val="18"/>
              </w:rPr>
              <w:t>G份额：固定管理费年化0.2%</w:t>
            </w:r>
          </w:p>
          <w:p w14:paraId="24EB0D3A">
            <w:pPr>
              <w:spacing w:line="200" w:lineRule="exact"/>
            </w:pPr>
            <w:r>
              <w:rPr>
                <w:rFonts w:ascii="方正黑体_GBK" w:hAnsi="方正黑体_GBK" w:eastAsia="方正黑体_GBK" w:cs="宋体"/>
                <w:b/>
                <w:sz w:val="18"/>
                <w:szCs w:val="18"/>
              </w:rPr>
              <w:t>M份额：固定管理费年化0.3%</w:t>
            </w:r>
          </w:p>
          <w:p w14:paraId="48699236">
            <w:pPr>
              <w:spacing w:line="200" w:lineRule="exact"/>
            </w:pPr>
            <w:r>
              <w:rPr>
                <w:rFonts w:ascii="方正黑体_GBK" w:hAnsi="方正黑体_GBK" w:eastAsia="方正黑体_GBK" w:cs="宋体"/>
                <w:b/>
                <w:sz w:val="18"/>
                <w:szCs w:val="18"/>
              </w:rPr>
              <w:t>N份额：固定管理费年化0.2%</w:t>
            </w:r>
          </w:p>
          <w:p w14:paraId="423D19C6">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02DFD6E4">
            <w:pPr>
              <w:spacing w:line="200" w:lineRule="exact"/>
            </w:pPr>
            <w:r>
              <w:rPr>
                <w:rFonts w:ascii="方正黑体_GBK" w:hAnsi="方正黑体_GBK" w:eastAsia="方正黑体_GBK" w:cs="宋体"/>
                <w:b/>
                <w:sz w:val="18"/>
                <w:szCs w:val="18"/>
              </w:rPr>
              <w:t>托管费：</w:t>
            </w:r>
          </w:p>
          <w:p w14:paraId="1AECDC57">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26F1F274">
            <w:pPr>
              <w:spacing w:line="200" w:lineRule="exact"/>
            </w:pPr>
            <w:r>
              <w:rPr>
                <w:rFonts w:ascii="方正黑体_GBK" w:hAnsi="方正黑体_GBK" w:eastAsia="方正黑体_GBK" w:cs="宋体"/>
                <w:b/>
                <w:sz w:val="18"/>
                <w:szCs w:val="18"/>
              </w:rPr>
              <w:t>每日计提的托管费=前一日理财产品资产净值×年化托管费率÷365</w:t>
            </w:r>
          </w:p>
          <w:p w14:paraId="443BC017">
            <w:pPr>
              <w:spacing w:line="200" w:lineRule="exact"/>
            </w:pPr>
            <w:r>
              <w:rPr>
                <w:rFonts w:ascii="方正黑体_GBK" w:hAnsi="方正黑体_GBK" w:eastAsia="方正黑体_GBK" w:cs="宋体"/>
                <w:b/>
                <w:sz w:val="18"/>
                <w:szCs w:val="18"/>
              </w:rPr>
              <w:t>业绩报酬：</w:t>
            </w:r>
          </w:p>
          <w:p w14:paraId="7D9A5AF2">
            <w:pPr>
              <w:spacing w:line="200" w:lineRule="exact"/>
            </w:pPr>
            <w:r>
              <w:rPr>
                <w:rFonts w:ascii="方正黑体_GBK" w:hAnsi="方正黑体_GBK" w:eastAsia="方正黑体_GBK" w:cs="宋体"/>
                <w:b/>
                <w:sz w:val="18"/>
                <w:szCs w:val="18"/>
              </w:rPr>
              <w:t>A份额：申购/赎回确认日和产品实际到期时，当期产品投资的实际资产组合收益（扣除销售费、固定管理费、托管费等相关费用）超过3%（年化，即产品该份额对应的业绩报酬计提基准）时，超过部分管理人将按60%收取业绩报酬。</w:t>
            </w:r>
          </w:p>
          <w:p w14:paraId="54ED3A49">
            <w:pPr>
              <w:spacing w:line="200" w:lineRule="exact"/>
            </w:pPr>
            <w:r>
              <w:rPr>
                <w:rFonts w:ascii="方正黑体_GBK" w:hAnsi="方正黑体_GBK" w:eastAsia="方正黑体_GBK" w:cs="宋体"/>
                <w:b/>
                <w:sz w:val="18"/>
                <w:szCs w:val="18"/>
              </w:rPr>
              <w:t>B份额：申购/赎回确认日和产品实际到期时，当期产品投资的实际资产组合收益（扣除销售费、固定管理费、托管费等相关费用）超过3%（年化，即产品该份额对应的业绩报酬计提基准）时，超过部分管理人将按60%收取业绩报酬。</w:t>
            </w:r>
          </w:p>
          <w:p w14:paraId="0CA44E95">
            <w:pPr>
              <w:spacing w:line="200" w:lineRule="exact"/>
            </w:pPr>
            <w:r>
              <w:rPr>
                <w:rFonts w:ascii="方正黑体_GBK" w:hAnsi="方正黑体_GBK" w:eastAsia="方正黑体_GBK" w:cs="宋体"/>
                <w:b/>
                <w:sz w:val="18"/>
                <w:szCs w:val="18"/>
              </w:rPr>
              <w:t>C份额：申购/赎回确认日和产品实际到期时，当期产品投资的实际资产组合收益（扣除销售费、固定管理费、托管费等相关费用）超过3.1%（年化，即产品该份额对应的业绩报酬计提基准）时，超过部分管理人将按60%收取业绩报酬。</w:t>
            </w:r>
          </w:p>
          <w:p w14:paraId="056DF362">
            <w:pPr>
              <w:spacing w:line="200" w:lineRule="exact"/>
            </w:pPr>
            <w:r>
              <w:rPr>
                <w:rFonts w:ascii="方正黑体_GBK" w:hAnsi="方正黑体_GBK" w:eastAsia="方正黑体_GBK" w:cs="宋体"/>
                <w:b/>
                <w:sz w:val="18"/>
                <w:szCs w:val="18"/>
              </w:rPr>
              <w:t>D份额：申购/赎回确认日和产品实际到期时，当期产品投资的实际资产组合收益（扣除销售费、固定管理费、托管费等相关费用）超过3.15%（年化，即产品该份额对应的业绩报酬计提基准）时，超过部分管理人将按60%收取业绩报酬。</w:t>
            </w:r>
          </w:p>
          <w:p w14:paraId="49DEC302">
            <w:pPr>
              <w:spacing w:line="200" w:lineRule="exact"/>
            </w:pPr>
            <w:r>
              <w:rPr>
                <w:rFonts w:ascii="方正黑体_GBK" w:hAnsi="方正黑体_GBK" w:eastAsia="方正黑体_GBK" w:cs="宋体"/>
                <w:b/>
                <w:sz w:val="18"/>
                <w:szCs w:val="18"/>
              </w:rPr>
              <w:t>E份额：申购/赎回确认日和产品实际到期时，当期产品投资的实际资产组合收益（扣除销售费、固定管理费、托管费等相关费用）超过3.25%（年化，即产品该份额对应的业绩报酬计提基准）时，超过部分管理人将按60%收取业绩报酬。</w:t>
            </w:r>
          </w:p>
          <w:p w14:paraId="28656C24">
            <w:pPr>
              <w:spacing w:line="200" w:lineRule="exact"/>
            </w:pPr>
            <w:r>
              <w:rPr>
                <w:rFonts w:ascii="方正黑体_GBK" w:hAnsi="方正黑体_GBK" w:eastAsia="方正黑体_GBK" w:cs="宋体"/>
                <w:b/>
                <w:sz w:val="18"/>
                <w:szCs w:val="18"/>
              </w:rPr>
              <w:t>F份额：申购/赎回确认日和产品实际到期时，当期产品投资的实际资产组合收益（扣除销售费、固定管理费、托管费等相关费用）超过3.1%（年化，即产品该份额对应的业绩报酬计提基准）时，超过部分管理人将按60%收取业绩报酬。</w:t>
            </w:r>
          </w:p>
          <w:p w14:paraId="41A7D0AE">
            <w:pPr>
              <w:spacing w:line="200" w:lineRule="exact"/>
            </w:pPr>
            <w:r>
              <w:rPr>
                <w:rFonts w:ascii="方正黑体_GBK" w:hAnsi="方正黑体_GBK" w:eastAsia="方正黑体_GBK" w:cs="宋体"/>
                <w:b/>
                <w:sz w:val="18"/>
                <w:szCs w:val="18"/>
              </w:rPr>
              <w:t>G份额：申购/赎回确认日和产品实际到期时，当期产品投资的实际资产组合收益（扣除销售费、固定管理费、托管费等相关费用）超过3.2%（年化，即产品该份额对应的业绩报酬计提基准）时，超过部分管理人将按60%收取业绩报酬。</w:t>
            </w:r>
          </w:p>
          <w:p w14:paraId="68A1D5E5">
            <w:pPr>
              <w:spacing w:line="200" w:lineRule="exact"/>
            </w:pPr>
            <w:r>
              <w:rPr>
                <w:rFonts w:ascii="方正黑体_GBK" w:hAnsi="方正黑体_GBK" w:eastAsia="方正黑体_GBK" w:cs="宋体"/>
                <w:b/>
                <w:sz w:val="18"/>
                <w:szCs w:val="18"/>
              </w:rPr>
              <w:t>M份额：申购/赎回确认日和产品实际到期时，当期产品投资的实际资产组合收益（扣除销售费、固定管理费、托管费等相关费用）超过3%（年化，即产品该份额对应的业绩报酬计提基准）时，超过部分管理人将按60%收取业绩报酬。</w:t>
            </w:r>
          </w:p>
          <w:p w14:paraId="0FD7BFBD">
            <w:pPr>
              <w:spacing w:line="200" w:lineRule="exact"/>
            </w:pPr>
            <w:r>
              <w:rPr>
                <w:rFonts w:ascii="方正黑体_GBK" w:hAnsi="方正黑体_GBK" w:eastAsia="方正黑体_GBK" w:cs="宋体"/>
                <w:b/>
                <w:sz w:val="18"/>
                <w:szCs w:val="18"/>
              </w:rPr>
              <w:t>N份额：申购/赎回确认日和产品实际到期时，当期产品投资的实际资产组合收益（扣除销售费、固定管理费、托管费等相关费用）超过3.3%（年化，即产品该份额对应的业绩报酬计提基准）时，超过部分管理人将按60%收取业绩报酬。</w:t>
            </w:r>
          </w:p>
          <w:p w14:paraId="6B2BB43F">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6A004DB8">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0FD79656">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5FDB77EF">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4E42B3B0">
            <w:pPr>
              <w:spacing w:line="200" w:lineRule="exact"/>
            </w:pPr>
            <w:r>
              <w:rPr>
                <w:rFonts w:ascii="方正黑体_GBK" w:hAnsi="方正黑体_GBK" w:eastAsia="方正黑体_GBK" w:cs="宋体"/>
                <w:b/>
                <w:sz w:val="18"/>
                <w:szCs w:val="18"/>
              </w:rPr>
              <w:t>计算本区间业绩报酬的公式如下：</w:t>
            </w:r>
          </w:p>
          <w:p w14:paraId="6DF60651">
            <w:pPr>
              <w:spacing w:line="200" w:lineRule="exact"/>
            </w:pPr>
            <w:r>
              <w:rPr>
                <w:rFonts w:ascii="方正黑体_GBK" w:hAnsi="方正黑体_GBK" w:eastAsia="方正黑体_GBK" w:cs="宋体"/>
                <w:b/>
                <w:sz w:val="18"/>
                <w:szCs w:val="18"/>
              </w:rPr>
              <w:t>A={B-C*D*(1+E*F/365)}*G。</w:t>
            </w:r>
          </w:p>
          <w:p w14:paraId="3F20BED9">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6CF5FA5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9C7C1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1AD418EB">
            <w:pPr>
              <w:spacing w:line="200" w:lineRule="exact"/>
              <w:jc w:val="left"/>
            </w:pPr>
            <w:r>
              <w:rPr>
                <w:rFonts w:ascii="方正黑体_GBK" w:hAnsi="方正黑体_GBK" w:eastAsia="方正黑体_GBK" w:cs="宋体"/>
                <w:color w:val="000000"/>
                <w:sz w:val="18"/>
                <w:szCs w:val="18"/>
              </w:rPr>
              <w:t>具体参见本理财产品风险揭示书。</w:t>
            </w:r>
          </w:p>
          <w:p w14:paraId="06FE20D0">
            <w:pPr>
              <w:spacing w:line="200" w:lineRule="exact"/>
              <w:jc w:val="left"/>
            </w:pPr>
            <w:r>
              <w:rPr>
                <w:rFonts w:ascii="方正黑体_GBK" w:hAnsi="方正黑体_GBK" w:eastAsia="方正黑体_GBK"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60939D47">
            <w:pPr>
              <w:spacing w:line="200" w:lineRule="exact"/>
              <w:jc w:val="left"/>
            </w:pPr>
            <w:r>
              <w:rPr>
                <w:rFonts w:ascii="方正黑体_GBK" w:hAnsi="方正黑体_GBK" w:eastAsia="方正黑体_GBK" w:cs="宋体"/>
                <w:color w:val="000000"/>
                <w:sz w:val="18"/>
                <w:szCs w:val="18"/>
              </w:rPr>
              <w:t>一是建仓或进行组合调整时，若投资资产包括债券或基金，可能由于特定债券或基金的流动性相对不足而无法按预期的价格买进（申购）或卖出（赎回）；</w:t>
            </w:r>
          </w:p>
          <w:p w14:paraId="185F386D">
            <w:pPr>
              <w:spacing w:line="200" w:lineRule="exact"/>
              <w:jc w:val="left"/>
            </w:pPr>
            <w:r>
              <w:rPr>
                <w:rFonts w:ascii="方正黑体_GBK" w:hAnsi="方正黑体_GBK" w:eastAsia="方正黑体_GBK" w:cs="宋体"/>
                <w:color w:val="000000"/>
                <w:sz w:val="18"/>
                <w:szCs w:val="18"/>
              </w:rPr>
              <w:t>二是为应对投资者的赎回，被迫以不适当的价格卖出债券或赎回基金；</w:t>
            </w:r>
          </w:p>
          <w:p w14:paraId="24DCA5B8">
            <w:pPr>
              <w:spacing w:line="200" w:lineRule="exact"/>
              <w:jc w:val="left"/>
            </w:pPr>
            <w:r>
              <w:rPr>
                <w:rFonts w:ascii="方正黑体_GBK" w:hAnsi="方正黑体_GBK" w:eastAsia="方正黑体_GBK" w:cs="宋体"/>
                <w:color w:val="000000"/>
                <w:sz w:val="18"/>
                <w:szCs w:val="18"/>
              </w:rPr>
              <w:t>三是若投资资产包括非标准化债权类资产，可能由于资产缺少流动性而难以变现。</w:t>
            </w:r>
          </w:p>
          <w:p w14:paraId="1809F511">
            <w:pPr>
              <w:spacing w:line="200" w:lineRule="exact"/>
              <w:jc w:val="left"/>
            </w:pPr>
            <w:r>
              <w:rPr>
                <w:rFonts w:ascii="方正黑体_GBK" w:hAnsi="方正黑体_GBK" w:eastAsia="方正黑体_GBK" w:cs="宋体"/>
                <w:color w:val="000000"/>
                <w:sz w:val="18"/>
                <w:szCs w:val="18"/>
              </w:rPr>
              <w:t>以上情形均可能使产品净值受到不利影响。</w:t>
            </w:r>
          </w:p>
        </w:tc>
      </w:tr>
      <w:tr w14:paraId="21692EF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82379D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03F1622F">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55D6003A">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4521D0DC">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67CAE09B">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665327BF">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1ED73D5E">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3F835CFF">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4A28673B">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5F28E6E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C0CEA3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6195CC86">
            <w:pPr>
              <w:spacing w:line="200" w:lineRule="exact"/>
              <w:jc w:val="left"/>
            </w:pPr>
            <w:r>
              <w:rPr>
                <w:rFonts w:ascii="方正黑体_GBK" w:hAnsi="方正黑体_GBK" w:eastAsia="方正黑体_GBK" w:cs="宋体"/>
                <w:sz w:val="18"/>
                <w:szCs w:val="18"/>
              </w:rPr>
              <w:t>本理财产品销售机构为南银理财有限责任公司、南京银行股份有限公司、嘉兴银行股份有限公司、江苏常熟农村商业银行股份有限公司、江苏苏州农村商业银行股份有限公司、秦皇岛银行股份有限公司、齐鲁银行股份有限公司、贵阳银行股份有限公司、云南红塔银行股份有限公司、中原银行股份有限公司、九江银行股份有限公司、天津农村商业银行股份有限公司、江苏紫金农村商业银行股份有限公司、苏州银行股份有限公司、桂林银行股份有限公司、石嘴山银行股份有限公司、江苏丹阳农村商业银行股份有限公司、江苏靖江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镇江农村商业银行股份有限公司、江苏苏商银行股份有限公司、江苏丰县农村商业银行股份有限公司、江苏句容农村商业银行股份有限公司、河北银行股份有限公司、江苏沛县农村商业银行股份有限公司、交通银行股份有限公司、甘肃银行股份有限公司、江苏仪征农村商业银行股份有限公司、成都银行股份有限公司、江苏沭阳农村商业银行股份有限公司。管理人有权调整本理财产品的销售机构并进行信息披露。</w:t>
            </w:r>
          </w:p>
          <w:p w14:paraId="7EDC00AE">
            <w:pPr>
              <w:spacing w:line="200" w:lineRule="exact"/>
              <w:jc w:val="left"/>
            </w:pPr>
            <w:r>
              <w:rPr>
                <w:rFonts w:ascii="方正黑体_GBK" w:hAnsi="方正黑体_GBK" w:eastAsia="方正黑体_GBK" w:cs="宋体"/>
                <w:sz w:val="18"/>
                <w:szCs w:val="18"/>
              </w:rPr>
              <w:t>销售机构主要职责如下：</w:t>
            </w:r>
          </w:p>
          <w:p w14:paraId="61002CAB">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1FE440D4">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79A59CBC">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496F82D9">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43CB4F95">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3E61E971">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043EA69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FA6FD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7DC07A66">
            <w:pPr>
              <w:spacing w:line="200" w:lineRule="exact"/>
            </w:pPr>
            <w:r>
              <w:rPr>
                <w:rFonts w:ascii="方正黑体_GBK" w:hAnsi="方正黑体_GBK" w:eastAsia="方正黑体_GBK" w:cs="宋体"/>
                <w:sz w:val="18"/>
                <w:szCs w:val="18"/>
              </w:rPr>
              <w:t>本理财产品托管人为南京银行股份有限公司，主要职责如下：</w:t>
            </w:r>
          </w:p>
          <w:p w14:paraId="4CE9D12B">
            <w:pPr>
              <w:spacing w:line="200" w:lineRule="exact"/>
            </w:pPr>
            <w:r>
              <w:rPr>
                <w:rFonts w:ascii="方正黑体_GBK" w:hAnsi="方正黑体_GBK" w:eastAsia="方正黑体_GBK" w:cs="宋体"/>
                <w:sz w:val="18"/>
                <w:szCs w:val="18"/>
              </w:rPr>
              <w:t>1.安全保管理财产品财产；</w:t>
            </w:r>
          </w:p>
          <w:p w14:paraId="7CB41B1F">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175F27E1">
            <w:pPr>
              <w:spacing w:line="200" w:lineRule="exact"/>
            </w:pPr>
            <w:r>
              <w:rPr>
                <w:rFonts w:ascii="方正黑体_GBK" w:hAnsi="方正黑体_GBK" w:eastAsia="方正黑体_GBK" w:cs="宋体"/>
                <w:sz w:val="18"/>
                <w:szCs w:val="18"/>
              </w:rPr>
              <w:t>3.按照托管协议约定和管理人的投资指令，及时办理清算、交割事宜；</w:t>
            </w:r>
          </w:p>
          <w:p w14:paraId="28C8466B">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0F796B8D">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22B1CC08">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1402584E">
            <w:pPr>
              <w:spacing w:line="200" w:lineRule="exact"/>
            </w:pPr>
            <w:r>
              <w:rPr>
                <w:rFonts w:ascii="方正黑体_GBK" w:hAnsi="方正黑体_GBK" w:eastAsia="方正黑体_GBK" w:cs="宋体"/>
                <w:sz w:val="18"/>
                <w:szCs w:val="18"/>
              </w:rPr>
              <w:t>7.理财托管业务活动的记录、账册、报表和其他相关资料保存20年以上；</w:t>
            </w:r>
          </w:p>
          <w:p w14:paraId="33A6A59B">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326BB29E">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5E12108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D6B9B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2D0A5E4A">
            <w:pPr>
              <w:spacing w:line="200" w:lineRule="exact"/>
            </w:pPr>
            <w:r>
              <w:rPr>
                <w:rFonts w:ascii="方正黑体_GBK" w:hAnsi="方正黑体_GBK" w:eastAsia="方正黑体_GBK" w:cs="宋体"/>
                <w:sz w:val="18"/>
                <w:szCs w:val="18"/>
              </w:rPr>
              <w:t>本理财产品合作机构为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上述投资合作机构主要职责对应如下，具体职责以管理人与投资合作机构签署的合同为准。</w:t>
            </w:r>
          </w:p>
          <w:p w14:paraId="6A9756A7">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w:t>
            </w:r>
          </w:p>
          <w:p w14:paraId="636A004A">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4897F2F8">
            <w:pPr>
              <w:spacing w:line="200" w:lineRule="exact"/>
            </w:pPr>
            <w:r>
              <w:rPr>
                <w:rFonts w:ascii="方正黑体_GBK" w:hAnsi="方正黑体_GBK" w:eastAsia="方正黑体_GBK" w:cs="宋体"/>
                <w:sz w:val="18"/>
                <w:szCs w:val="18"/>
              </w:rPr>
              <w:t>上述投资合作机构简介：</w:t>
            </w:r>
          </w:p>
          <w:p w14:paraId="6DFA9C58">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62D4FE24">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3DB5205D">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2261563A">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71484266">
            <w:pPr>
              <w:spacing w:line="200" w:lineRule="exact"/>
            </w:pPr>
            <w:r>
              <w:rPr>
                <w:rFonts w:ascii="方正黑体_GBK" w:hAnsi="方正黑体_GBK" w:eastAsia="方正黑体_GBK" w:cs="宋体"/>
                <w:sz w:val="18"/>
                <w:szCs w:val="18"/>
              </w:rPr>
              <w:t>华泰资产管理有限公司成立于2005年01月18日，注册资本金60060万元人民币。</w:t>
            </w:r>
          </w:p>
          <w:p w14:paraId="7A9326D7">
            <w:pPr>
              <w:spacing w:line="200" w:lineRule="exact"/>
            </w:pPr>
            <w:r>
              <w:rPr>
                <w:rFonts w:ascii="方正黑体_GBK" w:hAnsi="方正黑体_GBK" w:eastAsia="方正黑体_GBK" w:cs="宋体"/>
                <w:sz w:val="18"/>
                <w:szCs w:val="18"/>
              </w:rPr>
              <w:t>华鑫国际信托有限公司成立于1984年06月01日，注册资本金73.95亿元。</w:t>
            </w:r>
          </w:p>
          <w:p w14:paraId="555AE0BF">
            <w:pPr>
              <w:spacing w:line="200" w:lineRule="exact"/>
            </w:pPr>
            <w:r>
              <w:rPr>
                <w:rFonts w:ascii="方正黑体_GBK" w:hAnsi="方正黑体_GBK" w:eastAsia="方正黑体_GBK" w:cs="宋体"/>
                <w:sz w:val="18"/>
                <w:szCs w:val="18"/>
              </w:rPr>
              <w:t>建信保险资产管理有限公司成立于2016年04月27日，注册资本金3亿元。</w:t>
            </w:r>
          </w:p>
          <w:p w14:paraId="179AFAC0">
            <w:pPr>
              <w:spacing w:line="200" w:lineRule="exact"/>
            </w:pPr>
            <w:r>
              <w:rPr>
                <w:rFonts w:ascii="方正黑体_GBK" w:hAnsi="方正黑体_GBK" w:eastAsia="方正黑体_GBK" w:cs="宋体"/>
                <w:sz w:val="18"/>
                <w:szCs w:val="18"/>
              </w:rPr>
              <w:t>泰康资产管理有限责任公司成立于2006年02月21日，注册资本金10亿元。</w:t>
            </w:r>
          </w:p>
          <w:p w14:paraId="6B58D40C">
            <w:pPr>
              <w:spacing w:line="200" w:lineRule="exact"/>
            </w:pPr>
            <w:r>
              <w:rPr>
                <w:rFonts w:ascii="方正黑体_GBK" w:hAnsi="方正黑体_GBK" w:eastAsia="方正黑体_GBK" w:cs="宋体"/>
                <w:sz w:val="18"/>
                <w:szCs w:val="18"/>
              </w:rPr>
              <w:t>天津信托有限责任公司成立于1986年09月23日，注册资本金170000万元人民币。</w:t>
            </w:r>
          </w:p>
          <w:p w14:paraId="5C01D1D5">
            <w:pPr>
              <w:spacing w:line="200" w:lineRule="exact"/>
            </w:pPr>
            <w:r>
              <w:rPr>
                <w:rFonts w:ascii="方正黑体_GBK" w:hAnsi="方正黑体_GBK" w:eastAsia="方正黑体_GBK" w:cs="宋体"/>
                <w:sz w:val="18"/>
                <w:szCs w:val="18"/>
              </w:rPr>
              <w:t>云南国际信托有限公司成立于1997年09月03日，注册资本金120000万元人民币。</w:t>
            </w:r>
          </w:p>
          <w:p w14:paraId="44632451">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433B147F">
            <w:pPr>
              <w:spacing w:line="200" w:lineRule="exact"/>
            </w:pPr>
            <w:r>
              <w:rPr>
                <w:rFonts w:ascii="方正黑体_GBK" w:hAnsi="方正黑体_GBK" w:eastAsia="方正黑体_GBK" w:cs="宋体"/>
                <w:sz w:val="18"/>
                <w:szCs w:val="18"/>
              </w:rPr>
              <w:t>中粮信托有限责任公司成立于2009年07月27日，注册资本金28.3亿元。</w:t>
            </w:r>
          </w:p>
          <w:p w14:paraId="535D6FDB">
            <w:pPr>
              <w:spacing w:line="200" w:lineRule="exact"/>
            </w:pPr>
            <w:r>
              <w:rPr>
                <w:rFonts w:ascii="方正黑体_GBK" w:hAnsi="方正黑体_GBK" w:eastAsia="方正黑体_GBK" w:cs="宋体"/>
                <w:sz w:val="18"/>
                <w:szCs w:val="18"/>
              </w:rPr>
              <w:t>中信信托有限责任公司成立于1988年03月01日，注册资本金1127600万元人民币。</w:t>
            </w:r>
          </w:p>
        </w:tc>
      </w:tr>
      <w:tr w14:paraId="7A63BD6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FD1A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707C9EBA">
            <w:pPr>
              <w:spacing w:line="200" w:lineRule="exact"/>
              <w:jc w:val="left"/>
            </w:pPr>
            <w:r>
              <w:rPr>
                <w:rFonts w:ascii="方正黑体_GBK" w:hAnsi="方正黑体_GBK" w:eastAsia="方正黑体_GBK" w:cs="宋体"/>
                <w:color w:val="000000"/>
                <w:sz w:val="18"/>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14:paraId="537C797B">
            <w:pPr>
              <w:spacing w:line="200" w:lineRule="exact"/>
              <w:jc w:val="left"/>
            </w:pPr>
            <w:r>
              <w:rPr>
                <w:rFonts w:ascii="方正黑体_GBK" w:hAnsi="方正黑体_GBK" w:eastAsia="方正黑体_GBK" w:cs="宋体"/>
                <w:color w:val="000000"/>
                <w:sz w:val="18"/>
                <w:szCs w:val="18"/>
              </w:rPr>
              <w:t>1.接受全额赎回：当管理人认为有能力兑付投资者的全部赎回申请时，将在赎回确认日按正常赎回程序执行；</w:t>
            </w:r>
          </w:p>
          <w:p w14:paraId="2FC40FD1">
            <w:pPr>
              <w:spacing w:line="200" w:lineRule="exact"/>
              <w:jc w:val="left"/>
            </w:pPr>
            <w:r>
              <w:rPr>
                <w:rFonts w:ascii="方正黑体_GBK" w:hAnsi="方正黑体_GBK" w:eastAsia="方正黑体_GBK" w:cs="宋体"/>
                <w:color w:val="000000"/>
                <w:sz w:val="18"/>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14:paraId="6F2A031D">
            <w:pPr>
              <w:spacing w:line="200" w:lineRule="exact"/>
              <w:jc w:val="left"/>
            </w:pPr>
            <w:r>
              <w:rPr>
                <w:rFonts w:ascii="方正黑体_GBK" w:hAnsi="方正黑体_GBK" w:eastAsia="方正黑体_GBK" w:cs="宋体"/>
                <w:color w:val="000000"/>
                <w:sz w:val="18"/>
                <w:szCs w:val="18"/>
              </w:rPr>
              <w:t>（1）对于接受赎回申请的部分，管理人将按单个投资者的赎回申请份额占当日所有投资者的净赎回申请总份额的比例，确认该投资者当日办理的赎回申请份额。</w:t>
            </w:r>
          </w:p>
          <w:p w14:paraId="7711BB0E">
            <w:pPr>
              <w:spacing w:line="200" w:lineRule="exact"/>
              <w:jc w:val="left"/>
            </w:pPr>
            <w:r>
              <w:rPr>
                <w:rFonts w:ascii="方正黑体_GBK" w:hAnsi="方正黑体_GBK" w:eastAsia="方正黑体_GBK" w:cs="宋体"/>
                <w:color w:val="000000"/>
                <w:sz w:val="18"/>
                <w:szCs w:val="18"/>
              </w:rPr>
              <w:t>（2）对于暂停接受的部分，管理人将拒绝该部分赎回申请，投资者可在下一个产品开放日再次发起赎回申请。</w:t>
            </w:r>
          </w:p>
          <w:p w14:paraId="49EDA444">
            <w:pPr>
              <w:spacing w:line="200" w:lineRule="exact"/>
              <w:jc w:val="left"/>
            </w:pPr>
            <w:r>
              <w:rPr>
                <w:rFonts w:ascii="方正黑体_GBK" w:hAnsi="方正黑体_GBK" w:eastAsia="方正黑体_GBK" w:cs="宋体"/>
                <w:color w:val="000000"/>
                <w:sz w:val="18"/>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14:paraId="5E7D1C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1FFE7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连续巨额赎回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43A25CF4">
            <w:pPr>
              <w:spacing w:line="200" w:lineRule="exact"/>
            </w:pPr>
            <w:r>
              <w:rPr>
                <w:rFonts w:ascii="方正黑体_GBK" w:hAnsi="方正黑体_GBK" w:eastAsia="方正黑体_GBK" w:cs="宋体"/>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14:paraId="7A8399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B868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暂停接受认申购</w:t>
            </w:r>
          </w:p>
        </w:tc>
        <w:tc>
          <w:tcPr>
            <w:tcW w:w="5543" w:type="dxa"/>
            <w:tcBorders>
              <w:top w:val="single" w:color="auto" w:sz="4" w:space="0"/>
              <w:left w:val="nil"/>
              <w:bottom w:val="single" w:color="auto" w:sz="4" w:space="0"/>
              <w:right w:val="single" w:color="auto" w:sz="4" w:space="0"/>
              <w:tl2br w:val="nil"/>
              <w:tr2bl w:val="nil"/>
            </w:tcBorders>
            <w:vAlign w:val="center"/>
          </w:tcPr>
          <w:p w14:paraId="1F5D3D38">
            <w:pPr>
              <w:spacing w:line="200" w:lineRule="exact"/>
            </w:pPr>
            <w:r>
              <w:rPr>
                <w:rFonts w:ascii="方正黑体_GBK" w:hAnsi="方正黑体_GBK" w:eastAsia="方正黑体_GBK" w:cs="宋体"/>
                <w:sz w:val="18"/>
                <w:szCs w:val="18"/>
              </w:rPr>
              <w:t>发生下列情形时，管理人可暂停接受投资者认申购申请：</w:t>
            </w:r>
          </w:p>
          <w:p w14:paraId="2388D45B">
            <w:pPr>
              <w:spacing w:line="200" w:lineRule="exact"/>
            </w:pPr>
            <w:r>
              <w:rPr>
                <w:rFonts w:ascii="方正黑体_GBK" w:hAnsi="方正黑体_GBK" w:eastAsia="方正黑体_GBK" w:cs="宋体"/>
                <w:sz w:val="18"/>
                <w:szCs w:val="18"/>
              </w:rPr>
              <w:t>1.因不可抗力导致理财产品无法正常运作；</w:t>
            </w:r>
          </w:p>
          <w:p w14:paraId="511557C5">
            <w:pPr>
              <w:spacing w:line="200" w:lineRule="exact"/>
            </w:pPr>
            <w:r>
              <w:rPr>
                <w:rFonts w:ascii="方正黑体_GBK" w:hAnsi="方正黑体_GBK" w:eastAsia="方正黑体_GBK" w:cs="宋体"/>
                <w:sz w:val="18"/>
                <w:szCs w:val="18"/>
              </w:rPr>
              <w:t>2.因监管政策、市场发生重大变化，导致理财产品无法正常运作；</w:t>
            </w:r>
          </w:p>
          <w:p w14:paraId="4C6141AB">
            <w:pPr>
              <w:spacing w:line="200" w:lineRule="exact"/>
            </w:pPr>
            <w:r>
              <w:rPr>
                <w:rFonts w:ascii="方正黑体_GBK" w:hAnsi="方正黑体_GBK" w:eastAsia="方正黑体_GBK" w:cs="宋体"/>
                <w:sz w:val="18"/>
                <w:szCs w:val="18"/>
              </w:rPr>
              <w:t>3.管理人认为需要暂停认申购的其他情形。</w:t>
            </w:r>
          </w:p>
          <w:p w14:paraId="38488876">
            <w:pPr>
              <w:spacing w:line="200" w:lineRule="exact"/>
            </w:pPr>
            <w:r>
              <w:rPr>
                <w:rFonts w:ascii="方正黑体_GBK" w:hAnsi="方正黑体_GBK" w:eastAsia="方正黑体_GBK" w:cs="宋体"/>
                <w:b/>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14:paraId="544FAA4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9B6C7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暂停接受赎回</w:t>
            </w:r>
          </w:p>
        </w:tc>
        <w:tc>
          <w:tcPr>
            <w:tcW w:w="5543" w:type="dxa"/>
            <w:tcBorders>
              <w:top w:val="single" w:color="auto" w:sz="4" w:space="0"/>
              <w:left w:val="nil"/>
              <w:bottom w:val="single" w:color="auto" w:sz="4" w:space="0"/>
              <w:right w:val="single" w:color="auto" w:sz="4" w:space="0"/>
              <w:tl2br w:val="nil"/>
              <w:tr2bl w:val="nil"/>
            </w:tcBorders>
            <w:vAlign w:val="center"/>
          </w:tcPr>
          <w:p w14:paraId="1D981D12">
            <w:pPr>
              <w:spacing w:line="200" w:lineRule="exact"/>
            </w:pPr>
            <w:r>
              <w:rPr>
                <w:rFonts w:ascii="方正黑体_GBK" w:hAnsi="方正黑体_GBK" w:eastAsia="方正黑体_GBK" w:cs="宋体"/>
                <w:sz w:val="18"/>
                <w:szCs w:val="18"/>
              </w:rPr>
              <w:t>当本理财产品的当期赎回量超过上期理财产品规模的20%时，管理人有权暂停接受投资者的赎回申请，已经接受的赎回申请管理人有权延缓支付赎回款项，延缓期限不超过20个工作日。</w:t>
            </w:r>
          </w:p>
          <w:p w14:paraId="5FEA663C">
            <w:pPr>
              <w:spacing w:line="200" w:lineRule="exact"/>
            </w:pPr>
            <w:r>
              <w:rPr>
                <w:rFonts w:ascii="方正黑体_GBK" w:hAnsi="方正黑体_GBK" w:eastAsia="方正黑体_GBK" w:cs="宋体"/>
                <w:b/>
                <w:sz w:val="18"/>
                <w:szCs w:val="18"/>
              </w:rPr>
              <w:t>如发生以上暂停的情况，管理人将在3个交易日内告知投资者，并说明运用相关措施的原因、拟采取的应对安排等，投资者需重新进行资金安排。</w:t>
            </w:r>
          </w:p>
        </w:tc>
      </w:tr>
      <w:tr w14:paraId="04BBA33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D0C8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56BA1095">
            <w:pPr>
              <w:spacing w:line="200" w:lineRule="exact"/>
              <w:jc w:val="left"/>
            </w:pPr>
            <w:r>
              <w:rPr>
                <w:rFonts w:ascii="方正黑体_GBK" w:hAnsi="方正黑体_GBK" w:eastAsia="方正黑体_GBK" w:cs="宋体"/>
                <w:sz w:val="18"/>
                <w:szCs w:val="18"/>
              </w:rPr>
              <w:t>1.本理财产品开放日内非操作时间不能进行申购/赎回申请，封闭期内不开放申购/赎回申请。</w:t>
            </w:r>
          </w:p>
          <w:p w14:paraId="20241406">
            <w:pPr>
              <w:spacing w:line="200" w:lineRule="exact"/>
              <w:jc w:val="left"/>
            </w:pPr>
            <w:r>
              <w:rPr>
                <w:rFonts w:ascii="方正黑体_GBK" w:hAnsi="方正黑体_GBK" w:eastAsia="方正黑体_GBK" w:cs="宋体"/>
                <w:sz w:val="18"/>
                <w:szCs w:val="18"/>
              </w:rPr>
              <w:t>2.管理人在本理财产品存续期间按照监管规定进行信息披露，详见本理财产品说明书第五条信息披露。</w:t>
            </w:r>
          </w:p>
          <w:p w14:paraId="638249F3">
            <w:pPr>
              <w:spacing w:line="200" w:lineRule="exact"/>
              <w:jc w:val="left"/>
            </w:pPr>
            <w:r>
              <w:rPr>
                <w:rFonts w:ascii="方正黑体_GBK" w:hAnsi="方正黑体_GBK" w:eastAsia="方正黑体_GBK" w:cs="宋体"/>
                <w:b/>
                <w:sz w:val="18"/>
                <w:szCs w:val="18"/>
              </w:rPr>
              <w:t>3.本理财产品投资的资产管理产品的业绩报酬、赎回费等的提取（如有）可能造成本理财产品净值的下降。</w:t>
            </w:r>
          </w:p>
          <w:p w14:paraId="417080FF">
            <w:pPr>
              <w:spacing w:line="200" w:lineRule="exact"/>
            </w:pPr>
            <w:r>
              <w:rPr>
                <w:rFonts w:ascii="方正黑体_GBK" w:hAnsi="方正黑体_GBK" w:eastAsia="方正黑体_GBK" w:cs="宋体"/>
                <w:b/>
                <w:sz w:val="18"/>
                <w:szCs w:val="18"/>
              </w:rPr>
              <w:t>4.本理财产品可能投资不存在活跃交易市场且需要采用估值技术确定公允价值的资产，且计划投资前述资产的比例达到本理财产品净资产50%以上（“以上”含本数）。</w:t>
            </w:r>
          </w:p>
        </w:tc>
      </w:tr>
      <w:tr w14:paraId="76C77D9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225E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39FBA884">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31E40D38">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701B1C19">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3A86D9AD">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42185FFF">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5CB523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1B0CE03B">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66EF3B2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23DE917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734E36D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6027FA6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44DF3D6A">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21D3AA5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7678A38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052F298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4900663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447A552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5707FAA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390F2B7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2AF743D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1392138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7C30A5F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3C4B8C6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489CD3D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142DC52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4C09B15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446A93A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2D415CD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526A050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095164C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317093B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512DE59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4C23BA86">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15A50DC9">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南银理财鼎瑞安稳一年定开2025第16期公募人民币理财产品</w:t>
      </w:r>
      <w:r>
        <w:rPr>
          <w:rFonts w:hint="eastAsia" w:ascii="方正黑体_GBK" w:hAnsi="方正黑体_GBK" w:eastAsia="方正黑体_GBK"/>
          <w:vanish w:val="0"/>
          <w:color w:val="3D3D3D"/>
          <w:kern w:val="0"/>
          <w:sz w:val="15"/>
          <w:szCs w:val="15"/>
        </w:rPr>
        <w:t>。</w:t>
      </w:r>
    </w:p>
    <w:p w14:paraId="13CF804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541FA8A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624AB43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5DC19E7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19D1B8E6">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6A971B0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25B7E49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3355BB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4E89999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22A6B91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1CCD452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5049B00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0E9E7C1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134860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3A4858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0765BDB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280E682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5197558F">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016E866B">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0EBDEC7F">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5D00332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6B0F4354">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395F8AA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69E5645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07612BB9">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7C882885">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2D8845A5">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6F413CC5">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0558CD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0B977686">
      <w:pPr>
        <w:spacing w:line="200" w:lineRule="exact"/>
        <w:ind w:firstLine="280"/>
        <w:jc w:val="left"/>
      </w:pPr>
      <w:r>
        <w:rPr>
          <w:rFonts w:ascii="方正黑体_GBK" w:hAnsi="方正黑体_GBK" w:eastAsia="方正黑体_GBK" w:cs="宋体"/>
          <w:sz w:val="15"/>
          <w:szCs w:val="20"/>
        </w:rPr>
        <w:t>假设：投资者认购本理财产品10万元，成立日当日产品净值为1.0000元，折算份额100,000份。</w:t>
      </w:r>
    </w:p>
    <w:p w14:paraId="5B98CA9E">
      <w:pPr>
        <w:spacing w:line="200" w:lineRule="exact"/>
        <w:ind w:firstLine="280"/>
        <w:jc w:val="left"/>
      </w:pPr>
      <w:r>
        <w:rPr>
          <w:rFonts w:ascii="方正黑体_GBK" w:hAnsi="方正黑体_GBK" w:eastAsia="方正黑体_GBK" w:cs="宋体"/>
          <w:sz w:val="15"/>
          <w:szCs w:val="20"/>
        </w:rPr>
        <w:t>情景示例一：产品赎回确认时，扣除所有税费后（如有业绩报酬，已扣除）的赎回确认每份额净值为1.0300，则客户在资金到帐日收到到期款项为103,000元。</w:t>
      </w:r>
    </w:p>
    <w:p w14:paraId="1F311A61">
      <w:pPr>
        <w:spacing w:line="200" w:lineRule="exact"/>
        <w:ind w:firstLine="280"/>
        <w:jc w:val="left"/>
      </w:pPr>
      <w:r>
        <w:rPr>
          <w:rFonts w:ascii="方正黑体_GBK" w:hAnsi="方正黑体_GBK" w:eastAsia="方正黑体_GBK" w:cs="宋体"/>
          <w:sz w:val="15"/>
          <w:szCs w:val="20"/>
        </w:rPr>
        <w:t>情景示例二：产品赎回确认时，扣除所有税费后（如有业绩报酬，已扣除）的赎回确认每份额净值为0.9700，则客户在资金到帐日收到到期款项为97,000元。</w:t>
      </w:r>
    </w:p>
    <w:p w14:paraId="41964EB4">
      <w:pPr>
        <w:spacing w:line="200" w:lineRule="exact"/>
      </w:pPr>
      <w:r>
        <w:rPr>
          <w:rFonts w:ascii="方正黑体_GBK" w:hAnsi="方正黑体_GBK" w:eastAsia="方正黑体_GBK" w:cs="宋体"/>
          <w:sz w:val="15"/>
          <w:szCs w:val="20"/>
        </w:rPr>
        <w:t xml:space="preserve"> 以上数据为假设情形中的模拟数据，不代表实际收益，投资须谨慎。</w:t>
      </w:r>
    </w:p>
    <w:p w14:paraId="042DE2F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275EA204">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7B33DC5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55D8A6F4">
      <w:pPr>
        <w:spacing w:line="200" w:lineRule="exact"/>
        <w:ind w:firstLine="300"/>
        <w:jc w:val="both"/>
      </w:pPr>
      <w:r>
        <w:rPr>
          <w:rFonts w:ascii="方正黑体_GBK" w:hAnsi="方正黑体_GBK" w:eastAsia="方正黑体_GBK" w:cs="宋体"/>
          <w:sz w:val="15"/>
          <w:szCs w:val="20"/>
        </w:rPr>
        <w:t>（一）估值日</w:t>
      </w:r>
    </w:p>
    <w:p w14:paraId="4DCCB976">
      <w:pPr>
        <w:spacing w:line="200" w:lineRule="exact"/>
        <w:ind w:firstLine="300"/>
        <w:jc w:val="both"/>
      </w:pPr>
      <w:r>
        <w:rPr>
          <w:rFonts w:ascii="方正黑体_GBK" w:hAnsi="方正黑体_GBK" w:eastAsia="方正黑体_GBK" w:cs="宋体"/>
          <w:sz w:val="15"/>
          <w:szCs w:val="20"/>
        </w:rPr>
        <w:t>本理财产品每个工作日进行估值。</w:t>
      </w:r>
    </w:p>
    <w:p w14:paraId="7D277049">
      <w:pPr>
        <w:spacing w:line="200" w:lineRule="exact"/>
        <w:ind w:firstLine="300"/>
        <w:jc w:val="both"/>
      </w:pPr>
      <w:r>
        <w:rPr>
          <w:rFonts w:ascii="方正黑体_GBK" w:hAnsi="方正黑体_GBK" w:eastAsia="方正黑体_GBK" w:cs="宋体"/>
          <w:sz w:val="15"/>
          <w:szCs w:val="20"/>
        </w:rPr>
        <w:t>（二）估值对象</w:t>
      </w:r>
    </w:p>
    <w:p w14:paraId="0666321E">
      <w:pPr>
        <w:spacing w:line="200" w:lineRule="exact"/>
        <w:ind w:firstLine="300"/>
        <w:jc w:val="both"/>
      </w:pPr>
      <w:r>
        <w:rPr>
          <w:rFonts w:ascii="方正黑体_GBK" w:hAnsi="方正黑体_GBK" w:eastAsia="方正黑体_GBK" w:cs="宋体"/>
          <w:sz w:val="15"/>
          <w:szCs w:val="20"/>
        </w:rPr>
        <w:t>本理财产品所拥有的所有资产及负债。</w:t>
      </w:r>
    </w:p>
    <w:p w14:paraId="37774916">
      <w:pPr>
        <w:spacing w:line="200" w:lineRule="exact"/>
        <w:ind w:firstLine="300"/>
        <w:jc w:val="both"/>
      </w:pPr>
      <w:r>
        <w:rPr>
          <w:rFonts w:ascii="方正黑体_GBK" w:hAnsi="方正黑体_GBK" w:eastAsia="方正黑体_GBK" w:cs="宋体"/>
          <w:sz w:val="15"/>
          <w:szCs w:val="20"/>
        </w:rPr>
        <w:t>（三）估值目的</w:t>
      </w:r>
    </w:p>
    <w:p w14:paraId="59D48797">
      <w:pPr>
        <w:spacing w:line="200" w:lineRule="exact"/>
        <w:ind w:firstLine="300"/>
        <w:jc w:val="both"/>
      </w:pPr>
      <w:r>
        <w:rPr>
          <w:rFonts w:ascii="方正黑体_GBK" w:hAnsi="方正黑体_GBK" w:eastAsia="方正黑体_GBK" w:cs="宋体"/>
          <w:sz w:val="15"/>
          <w:szCs w:val="20"/>
        </w:rPr>
        <w:t>客观、准确反映理财产品的价值。</w:t>
      </w:r>
    </w:p>
    <w:p w14:paraId="2394CA12">
      <w:pPr>
        <w:spacing w:line="200" w:lineRule="exact"/>
        <w:ind w:firstLine="300"/>
        <w:jc w:val="both"/>
      </w:pPr>
      <w:r>
        <w:rPr>
          <w:rFonts w:ascii="方正黑体_GBK" w:hAnsi="方正黑体_GBK" w:eastAsia="方正黑体_GBK" w:cs="宋体"/>
          <w:sz w:val="15"/>
          <w:szCs w:val="20"/>
        </w:rPr>
        <w:t>（四）估值原则</w:t>
      </w:r>
    </w:p>
    <w:p w14:paraId="7325496E">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58B8ED16">
      <w:pPr>
        <w:spacing w:line="200" w:lineRule="exact"/>
        <w:ind w:firstLine="300"/>
        <w:jc w:val="both"/>
      </w:pPr>
      <w:r>
        <w:rPr>
          <w:rFonts w:ascii="方正黑体_GBK" w:hAnsi="方正黑体_GBK" w:eastAsia="方正黑体_GBK" w:cs="宋体"/>
          <w:sz w:val="15"/>
          <w:szCs w:val="20"/>
        </w:rPr>
        <w:t>（五）估值方法</w:t>
      </w:r>
    </w:p>
    <w:p w14:paraId="6E7AA785">
      <w:pPr>
        <w:spacing w:line="200" w:lineRule="exact"/>
        <w:ind w:firstLine="420"/>
      </w:pPr>
      <w:r>
        <w:rPr>
          <w:rFonts w:ascii="方正黑体_GBK" w:hAnsi="方正黑体_GBK" w:eastAsia="方正黑体_GBK" w:cs="宋体"/>
          <w:sz w:val="15"/>
          <w:szCs w:val="20"/>
        </w:rPr>
        <w:t>估值方法中列示的资产品种不代表管理人的实际投向，本理财产品拟投资范围以“投资范围”章节描述为准。</w:t>
      </w:r>
    </w:p>
    <w:p w14:paraId="0D1C6DB8">
      <w:pPr>
        <w:spacing w:line="200" w:lineRule="exact"/>
        <w:ind w:firstLine="420"/>
      </w:pPr>
      <w:r>
        <w:rPr>
          <w:rFonts w:ascii="方正黑体_GBK" w:hAnsi="方正黑体_GBK" w:eastAsia="方正黑体_GBK" w:cs="宋体"/>
          <w:sz w:val="15"/>
          <w:szCs w:val="20"/>
        </w:rPr>
        <w:t>1.银行存款、回购等货币市场工具</w:t>
      </w:r>
    </w:p>
    <w:p w14:paraId="66291A87">
      <w:pPr>
        <w:spacing w:line="200" w:lineRule="exact"/>
        <w:ind w:firstLine="420"/>
      </w:pPr>
      <w:r>
        <w:rPr>
          <w:rFonts w:ascii="方正黑体_GBK" w:hAnsi="方正黑体_GBK" w:eastAsia="方正黑体_GBK" w:cs="宋体"/>
          <w:sz w:val="15"/>
          <w:szCs w:val="20"/>
        </w:rPr>
        <w:t>以本金列示，逐日计提利息。</w:t>
      </w:r>
    </w:p>
    <w:p w14:paraId="407E07FF">
      <w:pPr>
        <w:spacing w:line="200" w:lineRule="exact"/>
        <w:ind w:firstLine="420"/>
      </w:pPr>
      <w:r>
        <w:rPr>
          <w:rFonts w:ascii="方正黑体_GBK" w:hAnsi="方正黑体_GBK" w:eastAsia="方正黑体_GBK" w:cs="宋体"/>
          <w:sz w:val="15"/>
          <w:szCs w:val="20"/>
        </w:rPr>
        <w:t>2.债券类资产</w:t>
      </w:r>
    </w:p>
    <w:p w14:paraId="7F13943B">
      <w:pPr>
        <w:spacing w:line="200" w:lineRule="exact"/>
        <w:ind w:firstLine="420"/>
      </w:pPr>
      <w:r>
        <w:rPr>
          <w:rFonts w:ascii="方正黑体_GBK" w:hAnsi="方正黑体_GBK" w:eastAsia="方正黑体_GBK" w:cs="宋体"/>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07DCD7B0">
      <w:pPr>
        <w:spacing w:line="200" w:lineRule="exact"/>
        <w:ind w:firstLine="420"/>
      </w:pPr>
      <w:r>
        <w:rPr>
          <w:rFonts w:ascii="方正黑体_GBK" w:hAnsi="方正黑体_GBK" w:eastAsia="方正黑体_GBK" w:cs="宋体"/>
          <w:sz w:val="15"/>
          <w:szCs w:val="20"/>
        </w:rPr>
        <w:t>3.非标准化债权类资产</w:t>
      </w:r>
    </w:p>
    <w:p w14:paraId="6EE0FB5F">
      <w:pPr>
        <w:spacing w:line="200" w:lineRule="exact"/>
        <w:ind w:firstLine="420"/>
      </w:pPr>
      <w:r>
        <w:rPr>
          <w:rFonts w:ascii="方正黑体_GBK" w:hAnsi="方正黑体_GBK" w:eastAsia="方正黑体_GBK" w:cs="宋体"/>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160ACF05">
      <w:pPr>
        <w:spacing w:line="200" w:lineRule="exact"/>
        <w:ind w:firstLine="420"/>
      </w:pPr>
      <w:r>
        <w:rPr>
          <w:rFonts w:ascii="方正黑体_GBK" w:hAnsi="方正黑体_GBK" w:eastAsia="方正黑体_GBK" w:cs="宋体"/>
          <w:sz w:val="15"/>
          <w:szCs w:val="20"/>
        </w:rPr>
        <w:t>4.证券投资基金、资管计划、信托计划等资产</w:t>
      </w:r>
    </w:p>
    <w:p w14:paraId="31A7B0D3">
      <w:pPr>
        <w:spacing w:line="200" w:lineRule="exact"/>
        <w:ind w:firstLine="420"/>
      </w:pPr>
      <w:r>
        <w:rPr>
          <w:rFonts w:ascii="方正黑体_GBK" w:hAnsi="方正黑体_GBK" w:eastAsia="方正黑体_GBK" w:cs="宋体"/>
          <w:sz w:val="15"/>
          <w:szCs w:val="20"/>
        </w:rPr>
        <w:t>按照公允价值估值，优先采用市值法估值。管理人将根据监管要求进行穿透管理，资管产品穿透后与理财公司关于同一投资品种的估值原则、政策、技术和方法等一致。</w:t>
      </w:r>
    </w:p>
    <w:p w14:paraId="522C86F2">
      <w:pPr>
        <w:spacing w:line="200" w:lineRule="exact"/>
        <w:ind w:firstLine="420"/>
      </w:pPr>
      <w:r>
        <w:rPr>
          <w:rFonts w:ascii="方正黑体_GBK" w:hAnsi="方正黑体_GBK" w:eastAsia="方正黑体_GBK" w:cs="宋体"/>
          <w:sz w:val="15"/>
          <w:szCs w:val="20"/>
        </w:rPr>
        <w:t>5.股权类及其他资产</w:t>
      </w:r>
    </w:p>
    <w:p w14:paraId="161BAD60">
      <w:pPr>
        <w:spacing w:line="200" w:lineRule="exact"/>
        <w:ind w:firstLine="420"/>
      </w:pPr>
      <w:r>
        <w:rPr>
          <w:rFonts w:ascii="方正黑体_GBK" w:hAnsi="方正黑体_GBK" w:eastAsia="方正黑体_GBK" w:cs="宋体"/>
          <w:sz w:val="15"/>
          <w:szCs w:val="20"/>
        </w:rPr>
        <w:t>按照公允价值估值，优先采用市值法估值。</w:t>
      </w:r>
    </w:p>
    <w:p w14:paraId="7DF179E0">
      <w:pPr>
        <w:spacing w:line="200" w:lineRule="exact"/>
        <w:ind w:firstLine="420"/>
      </w:pPr>
      <w:r>
        <w:rPr>
          <w:rFonts w:ascii="方正黑体_GBK" w:hAnsi="方正黑体_GBK" w:eastAsia="方正黑体_GBK" w:cs="宋体"/>
          <w:sz w:val="15"/>
          <w:szCs w:val="20"/>
        </w:rPr>
        <w:t>6.如有新增事项或变更事项，按国家最新规定或监管最新要求进行调整。</w:t>
      </w:r>
    </w:p>
    <w:p w14:paraId="55A00B67">
      <w:pPr>
        <w:spacing w:line="200" w:lineRule="exact"/>
        <w:ind w:firstLine="300"/>
        <w:jc w:val="both"/>
      </w:pPr>
      <w:r>
        <w:rPr>
          <w:rFonts w:ascii="方正黑体_GBK" w:hAnsi="方正黑体_GBK" w:eastAsia="方正黑体_GBK" w:cs="宋体"/>
          <w:sz w:val="15"/>
          <w:szCs w:val="20"/>
        </w:rPr>
        <w:t>（六）估值错误及暂停估值</w:t>
      </w:r>
    </w:p>
    <w:p w14:paraId="1EC8D6BD">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7D42FA8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77EFD75E">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4CC1CF62">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0622CAF1">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6DD3382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164B7DE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按月</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46EFCA6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7ABCA7F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51480B7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4321741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6D2372E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3CD89B5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5704F4F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7196319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3135C53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5881016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3BA983A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689435C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78BBA2C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6070F5C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1C2812D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71CF401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6600D1E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4ED8E3C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03394E20">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6592A39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7E62C35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0E4B4BB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2C8DA37D">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6AEB90A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2CC022D0">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1068EDE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519013F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436D115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31838A4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547A9AF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2949369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0B999AC0">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定期开放式、固定收益类、公募、净值型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674D5">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4FA216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d774b5cb"/>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0ee19d7a"/>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42b0ef43"/>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6ecdde8"/>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0c9ef4bd"/>
    <w:qFormat/>
    <w:uiPriority w:val="0"/>
  </w:style>
  <w:style w:type="paragraph" w:customStyle="1" w:styleId="20">
    <w:name w:val="toc 1c830e125"/>
    <w:basedOn w:val="15"/>
    <w:next w:val="1"/>
    <w:autoRedefine/>
    <w:qFormat/>
    <w:uiPriority w:val="0"/>
  </w:style>
  <w:style w:type="paragraph" w:customStyle="1" w:styleId="21">
    <w:name w:val="toc 269b0437a"/>
    <w:basedOn w:val="15"/>
    <w:next w:val="1"/>
    <w:autoRedefine/>
    <w:qFormat/>
    <w:uiPriority w:val="0"/>
    <w:pPr>
      <w:ind w:left="420"/>
    </w:pPr>
  </w:style>
  <w:style w:type="paragraph" w:customStyle="1" w:styleId="22">
    <w:name w:val="toc 3ca47c01b"/>
    <w:basedOn w:val="15"/>
    <w:next w:val="1"/>
    <w:autoRedefine/>
    <w:qFormat/>
    <w:uiPriority w:val="0"/>
    <w:pPr>
      <w:ind w:left="840"/>
    </w:pPr>
  </w:style>
  <w:style w:type="paragraph" w:customStyle="1" w:styleId="23">
    <w:name w:val="toc 446565b6d"/>
    <w:basedOn w:val="15"/>
    <w:next w:val="1"/>
    <w:autoRedefine/>
    <w:qFormat/>
    <w:uiPriority w:val="0"/>
    <w:pPr>
      <w:ind w:left="1260"/>
    </w:pPr>
  </w:style>
  <w:style w:type="paragraph" w:customStyle="1" w:styleId="24">
    <w:name w:val="toc 57277e9b5"/>
    <w:basedOn w:val="15"/>
    <w:next w:val="1"/>
    <w:autoRedefine/>
    <w:qFormat/>
    <w:uiPriority w:val="0"/>
    <w:pPr>
      <w:ind w:left="1680"/>
    </w:pPr>
  </w:style>
  <w:style w:type="paragraph" w:customStyle="1" w:styleId="25">
    <w:name w:val="headera5cba416"/>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61b4edb2"/>
    <w:basedOn w:val="15"/>
    <w:qFormat/>
    <w:uiPriority w:val="0"/>
    <w:pPr>
      <w:tabs>
        <w:tab w:val="center" w:pos="4153"/>
        <w:tab w:val="right" w:pos="8307"/>
      </w:tabs>
      <w:adjustRightInd/>
      <w:snapToGrid w:val="0"/>
      <w:contextualSpacing w:val="0"/>
      <w:jc w:val="left"/>
    </w:pPr>
    <w:rPr>
      <w:sz w:val="18"/>
    </w:rPr>
  </w:style>
  <w:style w:type="character" w:customStyle="1" w:styleId="27">
    <w:name w:val="Strongdf3a2e40"/>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cc8331fe"/>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b066cb47"/>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03780c8"/>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6edb426"/>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96d54af7"/>
    <w:qFormat/>
    <w:uiPriority w:val="0"/>
  </w:style>
  <w:style w:type="paragraph" w:customStyle="1" w:styleId="34">
    <w:name w:val="Normal Indent8fcc8382"/>
    <w:basedOn w:val="29"/>
    <w:qFormat/>
    <w:uiPriority w:val="0"/>
    <w:pPr>
      <w:ind w:firstLine="200" w:firstLineChars="200"/>
    </w:pPr>
  </w:style>
  <w:style w:type="paragraph" w:customStyle="1" w:styleId="35">
    <w:name w:val="toc 576ef39bc"/>
    <w:basedOn w:val="29"/>
    <w:next w:val="1"/>
    <w:qFormat/>
    <w:uiPriority w:val="0"/>
    <w:pPr>
      <w:ind w:left="1680"/>
    </w:pPr>
  </w:style>
  <w:style w:type="paragraph" w:customStyle="1" w:styleId="36">
    <w:name w:val="toc 3ae180d1c"/>
    <w:basedOn w:val="29"/>
    <w:next w:val="1"/>
    <w:qFormat/>
    <w:uiPriority w:val="0"/>
    <w:pPr>
      <w:ind w:left="840"/>
    </w:pPr>
  </w:style>
  <w:style w:type="paragraph" w:customStyle="1" w:styleId="37">
    <w:name w:val="footer843a9c97"/>
    <w:basedOn w:val="29"/>
    <w:qFormat/>
    <w:uiPriority w:val="0"/>
    <w:pPr>
      <w:tabs>
        <w:tab w:val="center" w:pos="4153"/>
        <w:tab w:val="right" w:pos="8307"/>
      </w:tabs>
      <w:adjustRightInd/>
      <w:snapToGrid w:val="0"/>
      <w:contextualSpacing w:val="0"/>
      <w:jc w:val="left"/>
    </w:pPr>
    <w:rPr>
      <w:sz w:val="18"/>
    </w:rPr>
  </w:style>
  <w:style w:type="paragraph" w:customStyle="1" w:styleId="38">
    <w:name w:val="headere67f0a44"/>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b4dc12a0"/>
    <w:basedOn w:val="29"/>
    <w:next w:val="1"/>
    <w:qFormat/>
    <w:uiPriority w:val="0"/>
  </w:style>
  <w:style w:type="paragraph" w:customStyle="1" w:styleId="40">
    <w:name w:val="toc 48e2c1236"/>
    <w:basedOn w:val="29"/>
    <w:next w:val="1"/>
    <w:qFormat/>
    <w:uiPriority w:val="0"/>
    <w:pPr>
      <w:ind w:left="1260"/>
    </w:pPr>
  </w:style>
  <w:style w:type="paragraph" w:customStyle="1" w:styleId="41">
    <w:name w:val="toc 2b7af6b9a"/>
    <w:basedOn w:val="29"/>
    <w:next w:val="1"/>
    <w:qFormat/>
    <w:uiPriority w:val="0"/>
    <w:pPr>
      <w:ind w:left="420"/>
    </w:pPr>
  </w:style>
  <w:style w:type="paragraph" w:customStyle="1" w:styleId="42">
    <w:name w:val="Normal (Web)4e373274"/>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50d98eb950d98eb9"/>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4f03c7ee4f03c7ee"/>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e48f470de48f470d"/>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f7133ab6f7133ab"/>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55bfb1fd55bfb1f"/>
    <w:qFormat/>
    <w:uiPriority w:val="0"/>
  </w:style>
  <w:style w:type="paragraph" w:customStyle="1" w:styleId="49">
    <w:name w:val="引文目录152cce00b52cce00b"/>
    <w:basedOn w:val="44"/>
    <w:next w:val="1"/>
    <w:qFormat/>
    <w:uiPriority w:val="0"/>
    <w:pPr>
      <w:ind w:left="200" w:leftChars="200"/>
    </w:pPr>
  </w:style>
  <w:style w:type="paragraph" w:customStyle="1" w:styleId="50">
    <w:name w:val="toc 5a2e4829da2e4829d"/>
    <w:basedOn w:val="44"/>
    <w:next w:val="1"/>
    <w:qFormat/>
    <w:uiPriority w:val="0"/>
    <w:pPr>
      <w:ind w:left="1680"/>
    </w:pPr>
  </w:style>
  <w:style w:type="paragraph" w:customStyle="1" w:styleId="51">
    <w:name w:val="toc 3e4f9bc8ce4f9bc8c"/>
    <w:basedOn w:val="44"/>
    <w:next w:val="1"/>
    <w:qFormat/>
    <w:uiPriority w:val="0"/>
    <w:pPr>
      <w:ind w:left="840"/>
    </w:pPr>
  </w:style>
  <w:style w:type="paragraph" w:customStyle="1" w:styleId="52">
    <w:name w:val="footerc96b2829c96b2829"/>
    <w:basedOn w:val="44"/>
    <w:qFormat/>
    <w:uiPriority w:val="0"/>
    <w:pPr>
      <w:tabs>
        <w:tab w:val="center" w:pos="4153"/>
        <w:tab w:val="right" w:pos="8307"/>
      </w:tabs>
      <w:adjustRightInd/>
      <w:snapToGrid w:val="0"/>
      <w:contextualSpacing w:val="0"/>
      <w:jc w:val="left"/>
    </w:pPr>
    <w:rPr>
      <w:sz w:val="18"/>
    </w:rPr>
  </w:style>
  <w:style w:type="paragraph" w:customStyle="1" w:styleId="53">
    <w:name w:val="headerf40bfba4f40bfba4"/>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1aaada981aaada98"/>
    <w:basedOn w:val="44"/>
    <w:next w:val="1"/>
    <w:qFormat/>
    <w:uiPriority w:val="0"/>
  </w:style>
  <w:style w:type="paragraph" w:customStyle="1" w:styleId="55">
    <w:name w:val="toc 4b8cd23c5b8cd23c5"/>
    <w:basedOn w:val="44"/>
    <w:next w:val="1"/>
    <w:qFormat/>
    <w:uiPriority w:val="0"/>
    <w:pPr>
      <w:ind w:left="1260"/>
    </w:pPr>
  </w:style>
  <w:style w:type="paragraph" w:customStyle="1" w:styleId="56">
    <w:name w:val="toc 21faa1b351faa1b35"/>
    <w:basedOn w:val="44"/>
    <w:next w:val="1"/>
    <w:qFormat/>
    <w:uiPriority w:val="0"/>
    <w:pPr>
      <w:ind w:left="420"/>
    </w:pPr>
  </w:style>
  <w:style w:type="paragraph" w:customStyle="1" w:styleId="57">
    <w:name w:val="列出段落1c9b5a896c9b5a896"/>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12</Pages>
  <Words>25729</Words>
  <Characters>26531</Characters>
  <Lines>81</Lines>
  <Paragraphs>27</Paragraphs>
  <TotalTime>9</TotalTime>
  <ScaleCrop>false</ScaleCrop>
  <LinksUpToDate>false</LinksUpToDate>
  <CharactersWithSpaces>26691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洋洋</cp:lastModifiedBy>
  <dcterms:modified xsi:type="dcterms:W3CDTF">2025-07-18T07:51:11Z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02AEF6DED8204361AEB85E71A6BDE641</vt:lpwstr>
  </property>
  <property fmtid="{D5CDD505-2E9C-101B-9397-08002B2CF9AE}" pid="4" name="KSOTemplateDocerSaveRecord">
    <vt:lpwstr>eyJoZGlkIjoiOTBkY2U3MjllYWUxNjVjYzQyMmI2ZjJjMjFkOWNlN2QiLCJ1c2VySWQiOiIyMzg3MTc3OTEifQ==</vt:lpwstr>
  </property>
</Properties>
</file>