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1E92C">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6D11A5B">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9E0175D">
      <w:pPr>
        <w:pStyle w:val="43"/>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92FCE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4EEF1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59658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南银理财珠联璧合安稳1905一年定开公募人民币理财产品</w:t>
            </w:r>
          </w:p>
        </w:tc>
      </w:tr>
      <w:tr w14:paraId="74EE3C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A31A3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932C0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633150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B7B93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951B8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48D69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E6506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31E02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ZC108691944598</w:t>
            </w:r>
          </w:p>
        </w:tc>
      </w:tr>
      <w:tr w14:paraId="71073E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8F53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4D1C7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Z7003221000026(投资者可依据该编码在中国理财网www.chinawealth.com.cn查询理财产品相关信息）</w:t>
            </w:r>
          </w:p>
        </w:tc>
      </w:tr>
      <w:tr w14:paraId="788586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1AED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821C3E9">
            <w:pPr>
              <w:spacing w:line="200" w:lineRule="exact"/>
            </w:pPr>
            <w:r>
              <w:rPr>
                <w:rFonts w:ascii="方正黑体_GBK" w:hAnsi="方正黑体_GBK" w:eastAsia="方正黑体_GBK" w:cs="宋体"/>
                <w:sz w:val="18"/>
                <w:szCs w:val="18"/>
              </w:rPr>
              <w:t>A份额：Z30001</w:t>
            </w:r>
          </w:p>
          <w:p w14:paraId="0BAB045B">
            <w:pPr>
              <w:spacing w:line="200" w:lineRule="exact"/>
            </w:pPr>
            <w:r>
              <w:rPr>
                <w:rFonts w:ascii="方正黑体_GBK" w:hAnsi="方正黑体_GBK" w:eastAsia="方正黑体_GBK" w:cs="宋体"/>
                <w:sz w:val="18"/>
                <w:szCs w:val="18"/>
              </w:rPr>
              <w:t>B份额：ZB30001</w:t>
            </w:r>
          </w:p>
          <w:p w14:paraId="41CDC5F4">
            <w:pPr>
              <w:spacing w:line="200" w:lineRule="exact"/>
            </w:pPr>
            <w:r>
              <w:rPr>
                <w:rFonts w:ascii="方正黑体_GBK" w:hAnsi="方正黑体_GBK" w:eastAsia="方正黑体_GBK" w:cs="宋体"/>
                <w:sz w:val="18"/>
                <w:szCs w:val="18"/>
              </w:rPr>
              <w:t>C份额：ZC30001</w:t>
            </w:r>
          </w:p>
          <w:p w14:paraId="37F9FD37">
            <w:pPr>
              <w:spacing w:line="200" w:lineRule="exact"/>
            </w:pPr>
            <w:r>
              <w:rPr>
                <w:rFonts w:ascii="方正黑体_GBK" w:hAnsi="方正黑体_GBK" w:eastAsia="方正黑体_GBK" w:cs="宋体"/>
                <w:sz w:val="18"/>
                <w:szCs w:val="18"/>
              </w:rPr>
              <w:t>D份额：ZD30001</w:t>
            </w:r>
          </w:p>
          <w:p w14:paraId="1E41F329">
            <w:pPr>
              <w:spacing w:line="200" w:lineRule="exact"/>
            </w:pPr>
            <w:r>
              <w:rPr>
                <w:rFonts w:ascii="方正黑体_GBK" w:hAnsi="方正黑体_GBK" w:eastAsia="方正黑体_GBK" w:cs="宋体"/>
                <w:sz w:val="18"/>
                <w:szCs w:val="18"/>
              </w:rPr>
              <w:t>E份额：ZE30001</w:t>
            </w:r>
          </w:p>
          <w:p w14:paraId="3998B410">
            <w:pPr>
              <w:spacing w:line="200" w:lineRule="exact"/>
            </w:pPr>
            <w:r>
              <w:rPr>
                <w:rFonts w:ascii="方正黑体_GBK" w:hAnsi="方正黑体_GBK" w:eastAsia="方正黑体_GBK" w:cs="宋体"/>
                <w:sz w:val="18"/>
                <w:szCs w:val="18"/>
              </w:rPr>
              <w:t>F份额：ZF30001</w:t>
            </w:r>
          </w:p>
          <w:p w14:paraId="425D389F">
            <w:pPr>
              <w:spacing w:line="200" w:lineRule="exact"/>
            </w:pPr>
            <w:r>
              <w:rPr>
                <w:rFonts w:ascii="方正黑体_GBK" w:hAnsi="方正黑体_GBK" w:eastAsia="方正黑体_GBK" w:cs="宋体"/>
                <w:sz w:val="18"/>
                <w:szCs w:val="18"/>
              </w:rPr>
              <w:t>I份额：ZI30001</w:t>
            </w:r>
          </w:p>
          <w:p w14:paraId="76FA6AA2">
            <w:pPr>
              <w:spacing w:line="200" w:lineRule="exact"/>
            </w:pPr>
            <w:r>
              <w:rPr>
                <w:rFonts w:ascii="方正黑体_GBK" w:hAnsi="方正黑体_GBK" w:eastAsia="方正黑体_GBK" w:cs="宋体"/>
                <w:sz w:val="18"/>
                <w:szCs w:val="18"/>
              </w:rPr>
              <w:t>A2份额：Z31001</w:t>
            </w:r>
          </w:p>
          <w:p w14:paraId="14E89A1F">
            <w:pPr>
              <w:spacing w:line="200" w:lineRule="exact"/>
            </w:pPr>
            <w:r>
              <w:rPr>
                <w:rFonts w:ascii="方正黑体_GBK" w:hAnsi="方正黑体_GBK" w:eastAsia="方正黑体_GBK" w:cs="宋体"/>
                <w:sz w:val="18"/>
                <w:szCs w:val="18"/>
              </w:rPr>
              <w:t>B2份额：ZB31001</w:t>
            </w:r>
          </w:p>
          <w:p w14:paraId="62F6054D">
            <w:pPr>
              <w:spacing w:line="200" w:lineRule="exact"/>
            </w:pPr>
            <w:r>
              <w:rPr>
                <w:rFonts w:ascii="方正黑体_GBK" w:hAnsi="方正黑体_GBK" w:eastAsia="方正黑体_GBK" w:cs="宋体"/>
                <w:sz w:val="18"/>
                <w:szCs w:val="18"/>
              </w:rPr>
              <w:t>C2份额：ZC31001</w:t>
            </w:r>
          </w:p>
          <w:p w14:paraId="0ADA56DA">
            <w:pPr>
              <w:spacing w:line="200" w:lineRule="exact"/>
            </w:pPr>
            <w:r>
              <w:rPr>
                <w:rFonts w:ascii="方正黑体_GBK" w:hAnsi="方正黑体_GBK" w:eastAsia="方正黑体_GBK" w:cs="宋体"/>
                <w:sz w:val="18"/>
                <w:szCs w:val="18"/>
              </w:rPr>
              <w:t>D2份额：ZD31001</w:t>
            </w:r>
          </w:p>
          <w:p w14:paraId="113C2958">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E2份额：ZE31001</w:t>
            </w:r>
          </w:p>
          <w:p w14:paraId="146675AB">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F2份额：ZF31001</w:t>
            </w:r>
          </w:p>
          <w:p w14:paraId="7053820E">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G2份额：ZG31001</w:t>
            </w:r>
          </w:p>
          <w:p w14:paraId="7FDB6BEC">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I2份额：ZI31001</w:t>
            </w:r>
          </w:p>
          <w:p w14:paraId="303C514B">
            <w:pPr>
              <w:spacing w:line="200" w:lineRule="exact"/>
            </w:pPr>
            <w:r>
              <w:rPr>
                <w:rFonts w:ascii="方正黑体_GBK" w:hAnsi="方正黑体_GBK" w:eastAsia="方正黑体_GBK" w:cs="宋体"/>
                <w:sz w:val="18"/>
                <w:szCs w:val="18"/>
              </w:rPr>
              <w:t>A3份额：Z32001</w:t>
            </w:r>
          </w:p>
          <w:p w14:paraId="34476E43">
            <w:pPr>
              <w:spacing w:line="200" w:lineRule="exact"/>
            </w:pPr>
            <w:r>
              <w:rPr>
                <w:rFonts w:ascii="方正黑体_GBK" w:hAnsi="方正黑体_GBK" w:eastAsia="方正黑体_GBK" w:cs="宋体"/>
                <w:sz w:val="18"/>
                <w:szCs w:val="18"/>
              </w:rPr>
              <w:t>B3份额：ZB32001</w:t>
            </w:r>
          </w:p>
          <w:p w14:paraId="3E864B2A">
            <w:pPr>
              <w:spacing w:line="200" w:lineRule="exact"/>
            </w:pPr>
            <w:r>
              <w:rPr>
                <w:rFonts w:ascii="方正黑体_GBK" w:hAnsi="方正黑体_GBK" w:eastAsia="方正黑体_GBK" w:cs="宋体"/>
                <w:sz w:val="18"/>
                <w:szCs w:val="18"/>
              </w:rPr>
              <w:t>C3份额：ZC32001</w:t>
            </w:r>
          </w:p>
          <w:p w14:paraId="1F892BAB">
            <w:pPr>
              <w:spacing w:line="200" w:lineRule="exact"/>
            </w:pPr>
            <w:r>
              <w:rPr>
                <w:rFonts w:ascii="方正黑体_GBK" w:hAnsi="方正黑体_GBK" w:eastAsia="方正黑体_GBK" w:cs="宋体"/>
                <w:sz w:val="18"/>
                <w:szCs w:val="18"/>
              </w:rPr>
              <w:t>D3份额：ZD32001</w:t>
            </w:r>
          </w:p>
          <w:p w14:paraId="49AC8BF3">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E3份额：ZE32001</w:t>
            </w:r>
          </w:p>
          <w:p w14:paraId="60BD7405">
            <w:pPr>
              <w:spacing w:line="200" w:lineRule="exact"/>
            </w:pPr>
            <w:r>
              <w:rPr>
                <w:rFonts w:ascii="方正黑体_GBK" w:hAnsi="方正黑体_GBK" w:eastAsia="方正黑体_GBK" w:cs="宋体"/>
                <w:sz w:val="18"/>
                <w:szCs w:val="18"/>
              </w:rPr>
              <w:t>F3份额：ZF32001</w:t>
            </w:r>
          </w:p>
          <w:p w14:paraId="6035577A">
            <w:pPr>
              <w:spacing w:line="200" w:lineRule="exact"/>
            </w:pPr>
            <w:r>
              <w:rPr>
                <w:rFonts w:ascii="方正黑体_GBK" w:hAnsi="方正黑体_GBK" w:eastAsia="方正黑体_GBK" w:cs="宋体"/>
                <w:sz w:val="18"/>
                <w:szCs w:val="18"/>
              </w:rPr>
              <w:t>G3份额：ZG32001</w:t>
            </w:r>
          </w:p>
          <w:p w14:paraId="056076F3">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H3份额：ZH32001</w:t>
            </w:r>
          </w:p>
          <w:p w14:paraId="3DBF57C2">
            <w:pPr>
              <w:spacing w:line="200" w:lineRule="exact"/>
            </w:pPr>
            <w:r>
              <w:rPr>
                <w:rFonts w:ascii="方正黑体_GBK" w:hAnsi="方正黑体_GBK" w:eastAsia="方正黑体_GBK" w:cs="宋体"/>
                <w:sz w:val="18"/>
                <w:szCs w:val="18"/>
              </w:rPr>
              <w:t>A4份额：Z33001</w:t>
            </w:r>
          </w:p>
          <w:p w14:paraId="188A1F09">
            <w:pPr>
              <w:spacing w:line="200" w:lineRule="exact"/>
            </w:pPr>
            <w:r>
              <w:rPr>
                <w:rFonts w:ascii="方正黑体_GBK" w:hAnsi="方正黑体_GBK" w:eastAsia="方正黑体_GBK" w:cs="宋体"/>
                <w:sz w:val="18"/>
                <w:szCs w:val="18"/>
              </w:rPr>
              <w:t>B4份额：ZB33001</w:t>
            </w:r>
          </w:p>
          <w:p w14:paraId="085A9063">
            <w:pPr>
              <w:spacing w:line="200" w:lineRule="exact"/>
            </w:pPr>
            <w:r>
              <w:rPr>
                <w:rFonts w:ascii="方正黑体_GBK" w:hAnsi="方正黑体_GBK" w:eastAsia="方正黑体_GBK" w:cs="宋体"/>
                <w:sz w:val="18"/>
                <w:szCs w:val="18"/>
              </w:rPr>
              <w:t>C4份额：ZC33001</w:t>
            </w:r>
          </w:p>
          <w:p w14:paraId="555F2D05">
            <w:pPr>
              <w:spacing w:line="200" w:lineRule="exact"/>
            </w:pPr>
            <w:r>
              <w:rPr>
                <w:rFonts w:ascii="方正黑体_GBK" w:hAnsi="方正黑体_GBK" w:eastAsia="方正黑体_GBK" w:cs="宋体"/>
                <w:sz w:val="18"/>
                <w:szCs w:val="18"/>
              </w:rPr>
              <w:t>D4份额：ZD33001</w:t>
            </w:r>
          </w:p>
          <w:p w14:paraId="2564C02B">
            <w:pPr>
              <w:spacing w:line="200" w:lineRule="exact"/>
            </w:pPr>
            <w:r>
              <w:rPr>
                <w:rFonts w:ascii="方正黑体_GBK" w:hAnsi="方正黑体_GBK" w:eastAsia="方正黑体_GBK" w:cs="宋体"/>
                <w:sz w:val="18"/>
                <w:szCs w:val="18"/>
              </w:rPr>
              <w:t>E4份额：ZE33001</w:t>
            </w:r>
          </w:p>
          <w:p w14:paraId="6D52A576">
            <w:pPr>
              <w:spacing w:line="200" w:lineRule="exact"/>
            </w:pPr>
            <w:r>
              <w:rPr>
                <w:rFonts w:ascii="方正黑体_GBK" w:hAnsi="方正黑体_GBK" w:eastAsia="方正黑体_GBK" w:cs="宋体"/>
                <w:sz w:val="18"/>
                <w:szCs w:val="18"/>
              </w:rPr>
              <w:t>F4份额：ZF33001</w:t>
            </w:r>
          </w:p>
          <w:p w14:paraId="2E912B6C">
            <w:pPr>
              <w:spacing w:line="200" w:lineRule="exact"/>
            </w:pPr>
            <w:r>
              <w:rPr>
                <w:rFonts w:ascii="方正黑体_GBK" w:hAnsi="方正黑体_GBK" w:eastAsia="方正黑体_GBK" w:cs="宋体"/>
                <w:sz w:val="18"/>
                <w:szCs w:val="18"/>
              </w:rPr>
              <w:t>G4份额：ZG33001</w:t>
            </w:r>
          </w:p>
          <w:p w14:paraId="2F0172B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DD0F4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B32BE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537CED5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60D38C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E6BA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DC46C4F">
            <w:pPr>
              <w:spacing w:line="200" w:lineRule="exact"/>
            </w:pPr>
            <w:r>
              <w:rPr>
                <w:rFonts w:ascii="方正黑体_GBK" w:hAnsi="方正黑体_GBK" w:eastAsia="方正黑体_GBK" w:cs="宋体"/>
                <w:sz w:val="18"/>
                <w:szCs w:val="18"/>
              </w:rPr>
              <w:t>全国</w:t>
            </w:r>
          </w:p>
        </w:tc>
      </w:tr>
      <w:tr w14:paraId="42BB68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7040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81D15B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6F0BD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DA8D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D4B79FD">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3AD3C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18D1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9C2172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EE5A45F">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AE10D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7435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7675847">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AE2082F">
            <w:pPr>
              <w:spacing w:line="200" w:lineRule="exact"/>
            </w:pPr>
            <w:r>
              <w:rPr>
                <w:rFonts w:ascii="方正黑体_GBK" w:hAnsi="方正黑体_GBK" w:eastAsia="方正黑体_GBK" w:cs="宋体"/>
                <w:sz w:val="18"/>
                <w:szCs w:val="18"/>
              </w:rPr>
              <w:t>A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509F514A">
            <w:pPr>
              <w:spacing w:line="200" w:lineRule="exact"/>
            </w:pPr>
            <w:r>
              <w:rPr>
                <w:rFonts w:ascii="方正黑体_GBK" w:hAnsi="方正黑体_GBK" w:eastAsia="方正黑体_GBK" w:cs="宋体"/>
                <w:sz w:val="18"/>
                <w:szCs w:val="18"/>
              </w:rPr>
              <w:t>B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B5C9FB3">
            <w:pPr>
              <w:spacing w:line="200" w:lineRule="exact"/>
            </w:pPr>
            <w:r>
              <w:rPr>
                <w:rFonts w:ascii="方正黑体_GBK" w:hAnsi="方正黑体_GBK" w:eastAsia="方正黑体_GBK" w:cs="宋体"/>
                <w:sz w:val="18"/>
                <w:szCs w:val="18"/>
              </w:rPr>
              <w:t>C份额：河北银行股份有限公司（常规客户）、天津农村商业银行股份有限公司（社保专属）、云南红塔银行股份有限公司（财富客户）、江苏扬州农村商业银行股份有限公司客户。</w:t>
            </w:r>
          </w:p>
          <w:p w14:paraId="3839226E">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69F0DE06">
            <w:pPr>
              <w:spacing w:line="200" w:lineRule="exact"/>
            </w:pPr>
            <w:r>
              <w:rPr>
                <w:rFonts w:ascii="方正黑体_GBK" w:hAnsi="方正黑体_GBK" w:eastAsia="方正黑体_GBK" w:cs="宋体"/>
                <w:sz w:val="18"/>
                <w:szCs w:val="18"/>
              </w:rPr>
              <w:t>E份额：天津农村商业银行股份有限公司（特邀客户）、江苏镇江农村商业银行股份有限公司（100万元起购）客户。</w:t>
            </w:r>
          </w:p>
          <w:p w14:paraId="7FC55216">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3A7DEAD3">
            <w:pPr>
              <w:spacing w:line="200" w:lineRule="exact"/>
            </w:pPr>
            <w:r>
              <w:rPr>
                <w:rFonts w:ascii="方正黑体_GBK" w:hAnsi="方正黑体_GBK" w:eastAsia="方正黑体_GBK" w:cs="宋体"/>
                <w:sz w:val="18"/>
                <w:szCs w:val="18"/>
              </w:rPr>
              <w:t>I份额：南京银行股份有限公司(上海分行新客、新资金（5万）、代发)客户。</w:t>
            </w:r>
          </w:p>
          <w:p w14:paraId="71EBD2ED">
            <w:pPr>
              <w:spacing w:line="200" w:lineRule="exact"/>
            </w:pPr>
            <w:r>
              <w:rPr>
                <w:rFonts w:ascii="方正黑体_GBK" w:hAnsi="方正黑体_GBK" w:eastAsia="方正黑体_GBK" w:cs="宋体"/>
                <w:sz w:val="18"/>
                <w:szCs w:val="18"/>
              </w:rPr>
              <w:t>A2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30AA76CB">
            <w:pPr>
              <w:spacing w:line="200" w:lineRule="exact"/>
            </w:pPr>
            <w:r>
              <w:rPr>
                <w:rFonts w:ascii="方正黑体_GBK" w:hAnsi="方正黑体_GBK" w:eastAsia="方正黑体_GBK" w:cs="宋体"/>
                <w:sz w:val="18"/>
                <w:szCs w:val="18"/>
              </w:rPr>
              <w:t>B2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270902A2">
            <w:pPr>
              <w:spacing w:line="200" w:lineRule="exact"/>
            </w:pPr>
            <w:r>
              <w:rPr>
                <w:rFonts w:ascii="方正黑体_GBK" w:hAnsi="方正黑体_GBK" w:eastAsia="方正黑体_GBK" w:cs="宋体"/>
                <w:sz w:val="18"/>
                <w:szCs w:val="18"/>
              </w:rPr>
              <w:t>C2份额：河北银行股份有限公司（常规客户）、天津农村商业银行股份有限公司（社保专属）、云南红塔银行股份有限公司（财富客户）、江苏扬州农村商业银行股份有限公司客户。</w:t>
            </w:r>
          </w:p>
          <w:p w14:paraId="30BAA312">
            <w:pPr>
              <w:spacing w:line="200" w:lineRule="exact"/>
            </w:pPr>
            <w:r>
              <w:rPr>
                <w:rFonts w:ascii="方正黑体_GBK" w:hAnsi="方正黑体_GBK" w:eastAsia="方正黑体_GBK" w:cs="宋体"/>
                <w:sz w:val="18"/>
                <w:szCs w:val="18"/>
              </w:rPr>
              <w:t>D2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3CC746A6">
            <w:pPr>
              <w:spacing w:line="200" w:lineRule="exact"/>
            </w:pPr>
            <w:r>
              <w:rPr>
                <w:rFonts w:ascii="方正黑体_GBK" w:hAnsi="方正黑体_GBK" w:eastAsia="方正黑体_GBK" w:cs="宋体"/>
                <w:sz w:val="18"/>
                <w:szCs w:val="18"/>
              </w:rPr>
              <w:t>E2份额：天津农村商业银行股份有限公司（特邀客户）、江苏镇江农村商业银行股份有限公司（100万元起购）客户。</w:t>
            </w:r>
          </w:p>
          <w:p w14:paraId="26CB7D0D">
            <w:pPr>
              <w:spacing w:line="200" w:lineRule="exact"/>
            </w:pPr>
            <w:r>
              <w:rPr>
                <w:rFonts w:ascii="方正黑体_GBK" w:hAnsi="方正黑体_GBK" w:eastAsia="方正黑体_GBK" w:cs="宋体"/>
                <w:sz w:val="18"/>
                <w:szCs w:val="18"/>
              </w:rPr>
              <w:t>A3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0C2FC2C6">
            <w:pPr>
              <w:spacing w:line="200" w:lineRule="exact"/>
            </w:pPr>
            <w:r>
              <w:rPr>
                <w:rFonts w:ascii="方正黑体_GBK" w:hAnsi="方正黑体_GBK" w:eastAsia="方正黑体_GBK" w:cs="宋体"/>
                <w:sz w:val="18"/>
                <w:szCs w:val="18"/>
              </w:rPr>
              <w:t>B3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2AA9FDC5">
            <w:pPr>
              <w:spacing w:line="200" w:lineRule="exact"/>
            </w:pPr>
            <w:r>
              <w:rPr>
                <w:rFonts w:ascii="方正黑体_GBK" w:hAnsi="方正黑体_GBK" w:eastAsia="方正黑体_GBK" w:cs="宋体"/>
                <w:sz w:val="18"/>
                <w:szCs w:val="18"/>
              </w:rPr>
              <w:t>C3份额：河北银行股份有限公司（常规客户）、天津农村商业银行股份有限公司（社保专属）、云南红塔银行股份有限公司（财富客户）、江苏扬州农村商业银行股份有限公司客户。</w:t>
            </w:r>
          </w:p>
          <w:p w14:paraId="490CAF2F">
            <w:pPr>
              <w:spacing w:line="200" w:lineRule="exact"/>
            </w:pPr>
            <w:r>
              <w:rPr>
                <w:rFonts w:ascii="方正黑体_GBK" w:hAnsi="方正黑体_GBK" w:eastAsia="方正黑体_GBK" w:cs="宋体"/>
                <w:sz w:val="18"/>
                <w:szCs w:val="18"/>
              </w:rPr>
              <w:t>D3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35ADA17D">
            <w:pPr>
              <w:spacing w:line="200" w:lineRule="exact"/>
            </w:pPr>
            <w:r>
              <w:rPr>
                <w:rFonts w:ascii="方正黑体_GBK" w:hAnsi="方正黑体_GBK" w:eastAsia="方正黑体_GBK" w:cs="宋体"/>
                <w:sz w:val="18"/>
                <w:szCs w:val="18"/>
              </w:rPr>
              <w:t>E3份额：天津农村商业银行股份有限公司（特邀客户）、江苏镇江农村商业银行股份有限公司（100万元起购）客户。</w:t>
            </w:r>
          </w:p>
          <w:p w14:paraId="259AC4AB">
            <w:pPr>
              <w:spacing w:line="200" w:lineRule="exact"/>
            </w:pPr>
            <w:r>
              <w:rPr>
                <w:rFonts w:ascii="方正黑体_GBK" w:hAnsi="方正黑体_GBK" w:eastAsia="方正黑体_GBK" w:cs="宋体"/>
                <w:sz w:val="18"/>
                <w:szCs w:val="18"/>
              </w:rPr>
              <w:t>A4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71B37849">
            <w:pPr>
              <w:spacing w:line="200" w:lineRule="exact"/>
            </w:pPr>
            <w:r>
              <w:rPr>
                <w:rFonts w:ascii="方正黑体_GBK" w:hAnsi="方正黑体_GBK" w:eastAsia="方正黑体_GBK" w:cs="宋体"/>
                <w:sz w:val="18"/>
                <w:szCs w:val="18"/>
              </w:rPr>
              <w:t>B4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7480609E">
            <w:pPr>
              <w:spacing w:line="200" w:lineRule="exact"/>
            </w:pPr>
            <w:r>
              <w:rPr>
                <w:rFonts w:ascii="方正黑体_GBK" w:hAnsi="方正黑体_GBK" w:eastAsia="方正黑体_GBK" w:cs="宋体"/>
                <w:sz w:val="18"/>
                <w:szCs w:val="18"/>
              </w:rPr>
              <w:t>C4份额：河北银行股份有限公司（常规客户）、天津农村商业银行股份有限公司（社保专属）、云南红塔银行股份有限公司（财富客户）、江苏扬州农村商业银行股份有限公司客户。</w:t>
            </w:r>
          </w:p>
          <w:p w14:paraId="374470E7">
            <w:pPr>
              <w:spacing w:line="200" w:lineRule="exact"/>
            </w:pPr>
            <w:r>
              <w:rPr>
                <w:rFonts w:ascii="方正黑体_GBK" w:hAnsi="方正黑体_GBK" w:eastAsia="方正黑体_GBK" w:cs="宋体"/>
                <w:sz w:val="18"/>
                <w:szCs w:val="18"/>
              </w:rPr>
              <w:t>D4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0A0A28F2">
            <w:pPr>
              <w:spacing w:line="200" w:lineRule="exact"/>
            </w:pPr>
            <w:r>
              <w:rPr>
                <w:rFonts w:ascii="方正黑体_GBK" w:hAnsi="方正黑体_GBK" w:eastAsia="方正黑体_GBK" w:cs="宋体"/>
                <w:sz w:val="18"/>
                <w:szCs w:val="18"/>
              </w:rPr>
              <w:t>E4份额：天津农村商业银行股份有限公司（特邀客户）、江苏镇江农村商业银行股份有限公司（100万元起购）客户。</w:t>
            </w:r>
          </w:p>
          <w:p w14:paraId="7B6CC8DF">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31C6C60C">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6A9A3D82">
            <w:pPr>
              <w:spacing w:line="200" w:lineRule="exact"/>
            </w:pPr>
            <w:r>
              <w:rPr>
                <w:rFonts w:ascii="方正黑体_GBK" w:hAnsi="方正黑体_GBK" w:eastAsia="方正黑体_GBK" w:cs="宋体"/>
                <w:sz w:val="18"/>
                <w:szCs w:val="18"/>
              </w:rPr>
              <w:t>G2份额：成都银行股份有限公司客户。</w:t>
            </w:r>
          </w:p>
          <w:p w14:paraId="5A57A309">
            <w:pPr>
              <w:spacing w:line="200" w:lineRule="exact"/>
            </w:pPr>
            <w:r>
              <w:rPr>
                <w:rFonts w:ascii="方正黑体_GBK" w:hAnsi="方正黑体_GBK" w:eastAsia="方正黑体_GBK" w:cs="宋体"/>
                <w:sz w:val="18"/>
                <w:szCs w:val="18"/>
              </w:rPr>
              <w:t>G3份额：成都银行股份有限公司客户。</w:t>
            </w:r>
          </w:p>
          <w:p w14:paraId="1D0F34E0">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1B6416D3">
            <w:pPr>
              <w:spacing w:line="200" w:lineRule="exact"/>
            </w:pPr>
            <w:r>
              <w:rPr>
                <w:rFonts w:ascii="方正黑体_GBK" w:hAnsi="方正黑体_GBK" w:eastAsia="方正黑体_GBK" w:cs="宋体"/>
                <w:sz w:val="18"/>
                <w:szCs w:val="18"/>
              </w:rPr>
              <w:t>G4份额：成都银行股份有限公司客户。</w:t>
            </w:r>
          </w:p>
          <w:p w14:paraId="29B24FF7">
            <w:pPr>
              <w:spacing w:line="200" w:lineRule="exact"/>
            </w:pPr>
            <w:r>
              <w:rPr>
                <w:rFonts w:ascii="方正黑体_GBK" w:hAnsi="方正黑体_GBK" w:eastAsia="方正黑体_GBK" w:cs="宋体"/>
                <w:sz w:val="18"/>
                <w:szCs w:val="18"/>
              </w:rPr>
              <w:t>H3份额：南京银行股份有限公司（新客或新资金（20万））客户。</w:t>
            </w:r>
          </w:p>
          <w:p w14:paraId="48D1E49D">
            <w:pPr>
              <w:spacing w:line="200" w:lineRule="exact"/>
            </w:pPr>
            <w:r>
              <w:rPr>
                <w:rFonts w:ascii="方正黑体_GBK" w:hAnsi="方正黑体_GBK" w:eastAsia="方正黑体_GBK" w:cs="宋体"/>
                <w:sz w:val="18"/>
                <w:szCs w:val="18"/>
              </w:rPr>
              <w:t>I2份额：南京银行股份有限公司(上海分行新客、新资金（5万）、代发)客户。</w:t>
            </w:r>
          </w:p>
          <w:p w14:paraId="1F24E13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8F584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CE7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D06E524">
            <w:pPr>
              <w:spacing w:line="200" w:lineRule="exact"/>
            </w:pPr>
            <w:r>
              <w:rPr>
                <w:rFonts w:ascii="方正黑体_GBK" w:hAnsi="方正黑体_GBK" w:eastAsia="方正黑体_GBK" w:cs="宋体"/>
                <w:sz w:val="18"/>
                <w:szCs w:val="18"/>
              </w:rPr>
              <w:t>A份额/B份额/C份额/D份额/E份额/F份额/I份额/A2份额/B2份额/C2份额/D2份额/E2份额/A3份额/B3份额/C3份额/D3份额/E3份额/A4份额/B4份额/C4份额/D4份额/E4份额/F2份额/F3份额/G2份额/G3份额/F4份额/G4份额/I2份额：</w:t>
            </w:r>
          </w:p>
          <w:p w14:paraId="469FC9D3">
            <w:pPr>
              <w:spacing w:line="200" w:lineRule="exact"/>
            </w:pPr>
            <w:r>
              <w:rPr>
                <w:rFonts w:ascii="方正黑体_GBK" w:hAnsi="方正黑体_GBK" w:eastAsia="方正黑体_GBK" w:cs="宋体"/>
                <w:sz w:val="18"/>
                <w:szCs w:val="18"/>
              </w:rPr>
              <w:t>个人投资者投资起点金额1元人民币，以1元的整数倍递增；</w:t>
            </w:r>
          </w:p>
          <w:p w14:paraId="097F962F">
            <w:pPr>
              <w:spacing w:line="200" w:lineRule="exact"/>
            </w:pPr>
            <w:r>
              <w:rPr>
                <w:rFonts w:ascii="方正黑体_GBK" w:hAnsi="方正黑体_GBK" w:eastAsia="方正黑体_GBK" w:cs="宋体"/>
                <w:sz w:val="18"/>
                <w:szCs w:val="18"/>
              </w:rPr>
              <w:t>机构投资者投资起点金额1元人民币，以1元的整数倍递增；</w:t>
            </w:r>
          </w:p>
          <w:p w14:paraId="6D6C25E3">
            <w:pPr>
              <w:spacing w:line="200" w:lineRule="exact"/>
            </w:pPr>
            <w:r>
              <w:rPr>
                <w:rFonts w:ascii="方正黑体_GBK" w:hAnsi="方正黑体_GBK" w:eastAsia="方正黑体_GBK" w:cs="宋体"/>
                <w:sz w:val="18"/>
                <w:szCs w:val="18"/>
              </w:rPr>
              <w:t>H3份额：</w:t>
            </w:r>
          </w:p>
          <w:p w14:paraId="4C3D75DB">
            <w:pPr>
              <w:spacing w:line="200" w:lineRule="exact"/>
            </w:pPr>
            <w:r>
              <w:rPr>
                <w:rFonts w:ascii="方正黑体_GBK" w:hAnsi="方正黑体_GBK" w:eastAsia="方正黑体_GBK" w:cs="宋体"/>
                <w:sz w:val="18"/>
                <w:szCs w:val="18"/>
              </w:rPr>
              <w:t>个人投资者投资起点金额20万元人民币，以1元的整数倍递增；</w:t>
            </w:r>
          </w:p>
          <w:p w14:paraId="6FD90C2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78B53E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8548B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8345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945301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F9C7E09">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34CC6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C8D4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0178EBB">
            <w:pPr>
              <w:spacing w:line="200" w:lineRule="exact"/>
            </w:pPr>
            <w:r>
              <w:rPr>
                <w:rFonts w:ascii="方正黑体_GBK" w:hAnsi="方正黑体_GBK" w:eastAsia="方正黑体_GBK" w:cs="宋体"/>
                <w:color w:val="000000"/>
                <w:sz w:val="18"/>
                <w:szCs w:val="18"/>
              </w:rPr>
              <w:t>2019年05月02日 09:00—2019年05月08日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080CF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87DFD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EFDAFBC">
            <w:pPr>
              <w:spacing w:line="200" w:lineRule="exact"/>
            </w:pPr>
            <w:r>
              <w:rPr>
                <w:rFonts w:ascii="方正黑体_GBK" w:hAnsi="方正黑体_GBK" w:eastAsia="方正黑体_GBK" w:cs="宋体"/>
                <w:sz w:val="18"/>
                <w:szCs w:val="18"/>
              </w:rPr>
              <w:t>认购份额=确认认购金额/1。（认购份额以去尾法保留两位小数）</w:t>
            </w:r>
          </w:p>
        </w:tc>
      </w:tr>
      <w:tr w14:paraId="0F7D1D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5FFB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11832D60">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442834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5B750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6A3E10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D8F08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CB6E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306CA0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2019年05月09日</w:t>
            </w:r>
          </w:p>
        </w:tc>
      </w:tr>
      <w:tr w14:paraId="2908C7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4A1C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AAD41A5">
            <w:pPr>
              <w:spacing w:line="200" w:lineRule="exact"/>
            </w:pPr>
            <w:r>
              <w:rPr>
                <w:rFonts w:ascii="方正黑体_GBK" w:hAnsi="方正黑体_GBK" w:eastAsia="方正黑体_GBK" w:cs="宋体"/>
                <w:sz w:val="18"/>
                <w:szCs w:val="18"/>
              </w:rPr>
              <w:t>2019年05月09日—实际到期日（若本理财产品未被提前终止或延期终止，则实际到期日即为名义到期日，存续期限10年；若本理财产品被提前终止或延期终止，则实际到期日为提前终止日或延期终止日。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6B1E02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EBC6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5FA9D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2C5CC0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02F77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0D8E250">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10DC9D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827CA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E9CF740">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101AA8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57125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436BC6B2">
            <w:pPr>
              <w:spacing w:line="200" w:lineRule="exact"/>
              <w:jc w:val="left"/>
            </w:pPr>
            <w:r>
              <w:rPr>
                <w:rFonts w:ascii="方正黑体_GBK" w:hAnsi="方正黑体_GBK" w:eastAsia="方正黑体_GBK" w:cs="宋体"/>
                <w:sz w:val="18"/>
                <w:szCs w:val="18"/>
              </w:rPr>
              <w:t>A份额/F份额：本次开放期为2025年6月19日9：00至2025年6月25日17：00,下一个开放期为2026年7月30日9：00至2026年8月5日17：00，投资者可以提交或撤销申购/赎回申请。</w:t>
            </w:r>
          </w:p>
          <w:p w14:paraId="448C7C8A">
            <w:pPr>
              <w:spacing w:line="200" w:lineRule="exact"/>
              <w:jc w:val="left"/>
            </w:pPr>
            <w:r>
              <w:rPr>
                <w:rFonts w:ascii="方正黑体_GBK" w:hAnsi="方正黑体_GBK" w:eastAsia="方正黑体_GBK" w:cs="宋体"/>
                <w:sz w:val="18"/>
                <w:szCs w:val="18"/>
              </w:rPr>
              <w:t>B份额/C份额/D份额/E份额/I份额：本次开放期为2025年6月19日9：00至2025年6月25日17：00，投资者可以提交或撤销认/申购申请；确认成功的份额均将于下一个开放期（2026年7月30日9：00至2026年8月5日17：00）由系统自动发起赎回申请。</w:t>
            </w:r>
          </w:p>
          <w:p w14:paraId="5EDA20D4">
            <w:pPr>
              <w:spacing w:line="200" w:lineRule="exact"/>
              <w:jc w:val="left"/>
            </w:pPr>
            <w:r>
              <w:rPr>
                <w:rFonts w:ascii="方正黑体_GBK" w:hAnsi="方正黑体_GBK" w:eastAsia="方正黑体_GBK" w:cs="宋体"/>
                <w:sz w:val="18"/>
                <w:szCs w:val="18"/>
              </w:rPr>
              <w:t>A2份额/F2份额：本次开放期为2025年6月26日9：00至2025年7月2日17：00，投资者可以提交或撤销认/申购申请。下一个赎回开放期为2026年7月30日9：00至2026年8月5日17：00，投资者可以提交或撤销赎回申请，下一个申购开放期为2026年8月6日9：00至2026年8月12日17：00，投资者可以提交或撤销申购申请。</w:t>
            </w:r>
          </w:p>
          <w:p w14:paraId="2B3882B0">
            <w:pPr>
              <w:spacing w:line="200" w:lineRule="exact"/>
              <w:jc w:val="left"/>
            </w:pPr>
            <w:r>
              <w:rPr>
                <w:rFonts w:ascii="方正黑体_GBK" w:hAnsi="方正黑体_GBK" w:eastAsia="方正黑体_GBK" w:cs="宋体"/>
                <w:sz w:val="18"/>
                <w:szCs w:val="18"/>
              </w:rPr>
              <w:t>B2份额/C2份额/D2份额/E2份额/G2份额/I2份额：本次开放期为2025年6月26日9：00至2025年7月2日17：00，投资者可以提交或撤销认/申购申请；确认成功的份额均将于下一个开放期（2026年7月30日9：00至2026年8月5日17：00）由系统自动发起赎回申请。</w:t>
            </w:r>
          </w:p>
          <w:p w14:paraId="71FB9FFE">
            <w:pPr>
              <w:spacing w:line="200" w:lineRule="exact"/>
              <w:jc w:val="left"/>
            </w:pPr>
            <w:r>
              <w:rPr>
                <w:rFonts w:ascii="方正黑体_GBK" w:hAnsi="方正黑体_GBK" w:eastAsia="方正黑体_GBK" w:cs="宋体"/>
                <w:sz w:val="18"/>
                <w:szCs w:val="18"/>
              </w:rPr>
              <w:t>A3份额/F3份额：本次开放期为2025年7月3日9：00至2025年7月9日17：00，投资者可以提交或撤销认/申购申请。下一个赎回开放期为2026年7月30日9：00至2026年8月5日17：00，投资者可以提交或撤销赎回申请，下一个申购开放期为2026年8月13日9：00至2026年8月19日17：00，投资者可以提交或撤销申购申请。</w:t>
            </w:r>
          </w:p>
          <w:p w14:paraId="76DAE10E">
            <w:pPr>
              <w:spacing w:line="200" w:lineRule="exact"/>
              <w:jc w:val="left"/>
            </w:pPr>
            <w:r>
              <w:rPr>
                <w:rFonts w:ascii="方正黑体_GBK" w:hAnsi="方正黑体_GBK" w:eastAsia="方正黑体_GBK" w:cs="宋体"/>
                <w:sz w:val="18"/>
                <w:szCs w:val="18"/>
              </w:rPr>
              <w:t>B3份额/C3份额/D3份额/E3份额/G3份额/H3份额：本次开放期为2025年7月3日9：00至2025年7月9日17：00，投资者可以提交或撤销认/申购申请；确认成功的份额均将于下一个开放期（2026年7月30日9：00至2026年8月5日17：00）由系统自动发起赎回申请。</w:t>
            </w:r>
          </w:p>
          <w:p w14:paraId="01E66563">
            <w:pPr>
              <w:spacing w:line="200" w:lineRule="exact"/>
              <w:jc w:val="left"/>
            </w:pPr>
            <w:r>
              <w:rPr>
                <w:rFonts w:ascii="方正黑体_GBK" w:hAnsi="方正黑体_GBK" w:eastAsia="方正黑体_GBK" w:cs="宋体"/>
                <w:sz w:val="18"/>
                <w:szCs w:val="18"/>
              </w:rPr>
              <w:t>A4份额/F4份额：本次开放期为2025年7月10日9：00至2025年7月16日17：00，投资者可以提交或撤销认/申购申请。下一个赎回开放期为2026年7月30日9：00至2026年8月5日17：00，投资者可以提交或撤销赎回申请，下一个申购开放期为2026年8月20日9：00至2026年8月26日17：00，投资者可以提交或撤销申购申请。</w:t>
            </w:r>
          </w:p>
          <w:p w14:paraId="3E28B609">
            <w:pPr>
              <w:spacing w:line="200" w:lineRule="exact"/>
              <w:jc w:val="left"/>
            </w:pPr>
            <w:r>
              <w:rPr>
                <w:rFonts w:ascii="方正黑体_GBK" w:hAnsi="方正黑体_GBK" w:eastAsia="方正黑体_GBK" w:cs="宋体"/>
                <w:sz w:val="18"/>
                <w:szCs w:val="18"/>
              </w:rPr>
              <w:t>B4份额/C4份额/D4份额/E4份额/G4份额：本次开放期为2025年7月10日9：00至2025年7月16日17：00，投资者可以提交或撤销认/申购申请；确认成功的份额均将于下一个开放期（2026年7月30日9：00至2026年8月5日17：00）由系统自动发起赎回申请。</w:t>
            </w:r>
          </w:p>
          <w:p w14:paraId="03923DBB">
            <w:pPr>
              <w:spacing w:line="200" w:lineRule="exact"/>
              <w:jc w:val="left"/>
            </w:pPr>
            <w:r>
              <w:rPr>
                <w:rFonts w:ascii="方正黑体_GBK" w:hAnsi="方正黑体_GBK" w:eastAsia="方正黑体_GBK" w:cs="宋体"/>
                <w:sz w:val="18"/>
                <w:szCs w:val="18"/>
              </w:rPr>
              <w:t>产品开放期如有调整以管理人公告为准。</w:t>
            </w:r>
          </w:p>
          <w:p w14:paraId="09F97BBF">
            <w:pPr>
              <w:spacing w:line="200" w:lineRule="exact"/>
            </w:pPr>
            <w:r>
              <w:rPr>
                <w:rFonts w:ascii="方正黑体_GBK" w:hAnsi="方正黑体_GBK" w:eastAsia="方正黑体_GBK" w:cs="宋体"/>
                <w:sz w:val="18"/>
                <w:szCs w:val="18"/>
              </w:rPr>
              <w:t>在销售机构支持的前提下，认购/申购/赎回开放期末日17:00前可以撤销申购/赎回申请。</w:t>
            </w:r>
          </w:p>
          <w:p w14:paraId="12559B35">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75AE50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75768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B81F55">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2C0371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F5C0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060E93F">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1CA430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F7AB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EF3BAEE">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5BCF37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07AF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FAF40B4">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1B63136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96543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D918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B724B3D">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51D85BA">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78EBF0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AFD5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C66192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035F3F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6B0BB92">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1D2120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CA6FD0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6A268DC">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8684665">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8330D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BAE5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06B0FB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15F37D4">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465C0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0497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93C7BB2">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418CDC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383B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D621702">
            <w:pPr>
              <w:spacing w:line="200" w:lineRule="exact"/>
            </w:pPr>
            <w:r>
              <w:rPr>
                <w:rFonts w:ascii="方正黑体_GBK" w:hAnsi="方正黑体_GBK" w:eastAsia="方正黑体_GBK" w:cs="宋体"/>
                <w:b/>
                <w:sz w:val="18"/>
                <w:szCs w:val="18"/>
              </w:rPr>
              <w:t>本理财产品拟投资以下备选非标准化债权类资产：</w:t>
            </w:r>
          </w:p>
          <w:p w14:paraId="033397F8">
            <w:pPr>
              <w:spacing w:line="200" w:lineRule="exact"/>
            </w:pPr>
            <w:r>
              <w:rPr>
                <w:rFonts w:ascii="方正黑体_GBK" w:hAnsi="方正黑体_GBK" w:eastAsia="方正黑体_GBK" w:cs="宋体"/>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1ABBA508">
            <w:pPr>
              <w:spacing w:line="200" w:lineRule="exact"/>
            </w:pPr>
            <w:r>
              <w:rPr>
                <w:rFonts w:ascii="方正黑体_GBK" w:hAnsi="方正黑体_GBK" w:eastAsia="方正黑体_GBK" w:cs="宋体"/>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295CC375">
            <w:pPr>
              <w:spacing w:line="200" w:lineRule="exact"/>
            </w:pPr>
            <w:r>
              <w:rPr>
                <w:rFonts w:ascii="方正黑体_GBK" w:hAnsi="方正黑体_GBK" w:eastAsia="方正黑体_GBK" w:cs="宋体"/>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045FCD60">
            <w:pPr>
              <w:spacing w:line="200" w:lineRule="exact"/>
            </w:pPr>
            <w:r>
              <w:rPr>
                <w:rFonts w:ascii="方正黑体_GBK" w:hAnsi="方正黑体_GBK" w:eastAsia="方正黑体_GBK" w:cs="宋体"/>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w:t>
            </w:r>
          </w:p>
          <w:p w14:paraId="59C5CE60">
            <w:pPr>
              <w:spacing w:line="200" w:lineRule="exact"/>
            </w:pPr>
            <w:r>
              <w:rPr>
                <w:rFonts w:ascii="方正黑体_GBK" w:hAnsi="方正黑体_GBK" w:eastAsia="方正黑体_GBK" w:cs="宋体"/>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w:t>
            </w:r>
          </w:p>
          <w:p w14:paraId="4DDEAEB0">
            <w:pPr>
              <w:spacing w:line="200" w:lineRule="exact"/>
            </w:pPr>
            <w:r>
              <w:rPr>
                <w:rFonts w:ascii="方正黑体_GBK" w:hAnsi="方正黑体_GBK" w:eastAsia="方正黑体_GBK" w:cs="宋体"/>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w:t>
            </w:r>
          </w:p>
          <w:p w14:paraId="1265A9AE">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信托贷款：资产类型为信托公司设立的资金信托计划，底层资产为抖音及信托公司双重审核、信托公司自主风控后发放的“月付”个人消费贷款债权，资产到期日不超过理财产品最近一次开放日。</w:t>
            </w:r>
          </w:p>
          <w:p w14:paraId="20B11520">
            <w:pPr>
              <w:spacing w:line="200" w:lineRule="exact"/>
            </w:pPr>
            <w:r>
              <w:rPr>
                <w:rFonts w:ascii="方正黑体_GBK" w:hAnsi="方正黑体_GBK" w:eastAsia="方正黑体_GBK" w:cs="宋体"/>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11814F2E">
            <w:pPr>
              <w:spacing w:line="200" w:lineRule="exact"/>
            </w:pPr>
            <w:r>
              <w:rPr>
                <w:rFonts w:ascii="方正黑体_GBK" w:hAnsi="方正黑体_GBK" w:eastAsia="方正黑体_GBK" w:cs="宋体"/>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w:t>
            </w:r>
          </w:p>
          <w:p w14:paraId="2A834FE9">
            <w:pPr>
              <w:spacing w:line="200" w:lineRule="exact"/>
            </w:pPr>
            <w:r>
              <w:rPr>
                <w:rFonts w:ascii="方正黑体_GBK" w:hAnsi="方正黑体_GBK" w:eastAsia="方正黑体_GBK" w:cs="宋体"/>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w:t>
            </w:r>
          </w:p>
          <w:p w14:paraId="59CE94E3">
            <w:pPr>
              <w:spacing w:line="200" w:lineRule="exact"/>
            </w:pPr>
            <w:r>
              <w:rPr>
                <w:rFonts w:ascii="方正黑体_GBK" w:hAnsi="方正黑体_GBK" w:eastAsia="方正黑体_GBK" w:cs="宋体"/>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0281EFB1">
            <w:pPr>
              <w:spacing w:line="200" w:lineRule="exact"/>
            </w:pPr>
            <w:r>
              <w:rPr>
                <w:rFonts w:ascii="方正黑体_GBK" w:hAnsi="方正黑体_GBK" w:eastAsia="方正黑体_GBK" w:cs="宋体"/>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202211F2">
            <w:pPr>
              <w:spacing w:line="200" w:lineRule="exact"/>
            </w:pPr>
            <w:r>
              <w:rPr>
                <w:rFonts w:ascii="方正黑体_GBK" w:hAnsi="方正黑体_GBK" w:eastAsia="方正黑体_GBK" w:cs="宋体"/>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w:t>
            </w:r>
          </w:p>
          <w:p w14:paraId="2C1E8BB2">
            <w:pPr>
              <w:spacing w:line="200" w:lineRule="exact"/>
            </w:pPr>
            <w:r>
              <w:rPr>
                <w:rFonts w:ascii="方正黑体_GBK" w:hAnsi="方正黑体_GBK" w:eastAsia="方正黑体_GBK" w:cs="宋体"/>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w:t>
            </w:r>
          </w:p>
          <w:p w14:paraId="16B3E00E">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78CD31B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742ED86C">
            <w:pPr>
              <w:spacing w:line="200" w:lineRule="exact"/>
            </w:pPr>
            <w:r>
              <w:rPr>
                <w:rFonts w:ascii="方正黑体_GBK" w:hAnsi="方正黑体_GBK" w:eastAsia="方正黑体_GBK" w:cs="宋体"/>
                <w:sz w:val="18"/>
                <w:szCs w:val="18"/>
              </w:rPr>
              <w:t>(17)信托贷款：资产类型为信托公司设立的固定收益类信托计划，底层资产为向融资人江苏宜兴环保科技工业园国有控股有限公司发放信托贷款，资产到期日不超过理财产品最近一次开放日。融资人评级为AA+(评级机构为中证鹏元资信评估股份有限公司)，融资人第一大股东为中国宜兴环保科技工业园管理委员会，持股比例为51%。经营范围包括:一般项目：以自有资金从事投资活动；土地整治服务；土地使用权租赁；住房租赁；非居住房地产租赁；股权投资；企业管理；工程管理服务；科技推广和应用服务；社会经济咨询服务；园区管理服务；企业管理咨询；咨询策划服务(除依法须经批准的项目外，凭营业执照依法自主开展经营活动)</w:t>
            </w:r>
          </w:p>
          <w:p w14:paraId="30E122F1">
            <w:pPr>
              <w:spacing w:line="200" w:lineRule="exact"/>
            </w:pPr>
            <w:r>
              <w:rPr>
                <w:rFonts w:ascii="方正黑体_GBK" w:hAnsi="方正黑体_GBK" w:eastAsia="方正黑体_GBK" w:cs="宋体"/>
                <w:sz w:val="18"/>
                <w:szCs w:val="18"/>
              </w:rPr>
              <w:t>(18)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100%。经营范围包括:许可项目：建设工程施工；建设工程设计；住宅室内装饰装修；建筑物拆除作业(爆破作业除外)(依法须经批准的项目，经相关部门批准后方可开展经营活动，具体经营项目以审批结果为准)  一般项目：工程管理服务；土地整治服务；自有资金投资的资产管理服务；供应链管理服务；公共事业管理服务；园区管理服务；技术服务、技术开发、技术咨询、技术交流、技术转让、技术推广；土地使用权租赁；住宅水电安装维护服务；劳务服务(不含劳务派遣)；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除依法须经批准的项目外，凭营业执照依法自主开展经营活动)</w:t>
            </w:r>
          </w:p>
          <w:p w14:paraId="032A6469">
            <w:pPr>
              <w:spacing w:line="200" w:lineRule="exact"/>
            </w:pPr>
            <w:r>
              <w:rPr>
                <w:rFonts w:ascii="方正黑体_GBK" w:hAnsi="方正黑体_GBK" w:eastAsia="方正黑体_GBK" w:cs="宋体"/>
                <w:sz w:val="18"/>
                <w:szCs w:val="18"/>
              </w:rPr>
              <w:t>(19)信托贷款：资产类型为信托公司设立的固定收益类信托计划，底层资产为向融资人江苏金坛投资集团有限公司发放信托贷款，资产到期日不超过理财产品最近一次开放日。融资人评级为AA+(评级机构为中诚信国际信用评级有限责任公司)，融资人第一大股东为常州市金坛区人民政府，持股比例为100%。经营范围包括:许可项目:建设工程施工(依法须经批准的项目,经相关部门批准后方可开展经营活动,具体经营项目以审批结果为准)一般项目:股权投资;以自有资金从事投资活动;创业投资(限投资未上市企业);自有资金投资的资产管理服务;企业管理;园区管理服务;园林绿化工程施工;工程和技术研究和试验发展;工程管理服务;融资咨询服务;财务咨询(除依法须经批准的项目外,凭营业执照依法自主开展经营活动)</w:t>
            </w:r>
          </w:p>
          <w:p w14:paraId="1BB3285E">
            <w:pPr>
              <w:spacing w:line="200" w:lineRule="exact"/>
            </w:pPr>
            <w:r>
              <w:rPr>
                <w:rFonts w:ascii="方正黑体_GBK" w:hAnsi="方正黑体_GBK" w:eastAsia="方正黑体_GBK" w:cs="宋体"/>
                <w:sz w:val="18"/>
                <w:szCs w:val="18"/>
              </w:rPr>
              <w:t>(20)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36B30246">
            <w:pPr>
              <w:spacing w:line="200" w:lineRule="exact"/>
            </w:pPr>
            <w:r>
              <w:rPr>
                <w:rFonts w:ascii="方正黑体_GBK" w:hAnsi="方正黑体_GBK" w:eastAsia="方正黑体_GBK" w:cs="宋体"/>
                <w:sz w:val="18"/>
                <w:szCs w:val="18"/>
              </w:rPr>
              <w:t>(21)信托贷款：资产类型为信托公司设立的固定收益类信托计划，底层资产为向融资人南京江北新区产业投资集团有限公司发放信托贷款，资产到期日不超过理财产品最近一次开放日。融资人评级为AAA(评级机构为联合资信评估股份有限公司)，融资人第一大股东为南京扬子国资投资集团有限责任公司，持股比例为45.59%。经营范围包括:投资兴办高新技术企业;高新技术项目风险投资;高新技术咨询服务;物业管理;开发区高新技术产品销售;开发区内企业生产所需原辅材料及配套设备供应;多余物资串换;机电产品、机械设备、仪器仪表、五金交电(不含助力车)、化工产品(不含危险品)、通信设备(不含卫星地面接收设备)销售(以上经营范围均不含国家专控商品及专项审批项目);房地产开发(凭资质证书在有效期内经营);高新区内土地开发、基础设施建设;自营和代理各类商品及技术的进出口业务;城市道路、桥梁、隧道、公共广场、绿化工程施工及提供劳务;污水处理、污水处理工程;河道整治及养护工程;高新技术研发;创业投资;投资管理咨询、服务。(依法须经批准的项目,经相关部门批准后方可开展经营活动)</w:t>
            </w:r>
          </w:p>
          <w:p w14:paraId="0A130382">
            <w:pPr>
              <w:spacing w:line="200" w:lineRule="exact"/>
            </w:pPr>
            <w:r>
              <w:rPr>
                <w:rFonts w:ascii="方正黑体_GBK" w:hAnsi="方正黑体_GBK" w:eastAsia="方正黑体_GBK" w:cs="宋体"/>
                <w:sz w:val="18"/>
                <w:szCs w:val="18"/>
              </w:rPr>
              <w:t>(22)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14:paraId="4A569C5E">
            <w:pPr>
              <w:spacing w:line="200" w:lineRule="exact"/>
            </w:pPr>
            <w:r>
              <w:rPr>
                <w:rFonts w:ascii="方正黑体_GBK" w:hAnsi="方正黑体_GBK" w:eastAsia="方正黑体_GBK" w:cs="宋体"/>
                <w:sz w:val="18"/>
                <w:szCs w:val="18"/>
              </w:rPr>
              <w:t>(23)信托贷款：资产类型为信托公司设立的固定收益类信托计划，底层资产为向融资人富皋万泰集团有限公司发放信托贷款，资产到期日不超过理财产品最近一次开放日。融资人评级为AA+(评级机构为联合资信评估股份有限公司)，融资人第一大股东为如皋市人民政府，持股比例为100%。经营范围包括:实业投资;投资管理;资产管理;城市基础设施建设;工程管理服务;房地产开发经营;房屋租赁;物业管理;土地整理服务;棚户区改造。(依法须经批准的项目,经相关部门批准后方可开展经营活动)</w:t>
            </w:r>
          </w:p>
          <w:p w14:paraId="2C5DEBE5">
            <w:pPr>
              <w:spacing w:line="200" w:lineRule="exact"/>
            </w:pPr>
            <w:r>
              <w:rPr>
                <w:rFonts w:ascii="方正黑体_GBK" w:hAnsi="方正黑体_GBK" w:eastAsia="方正黑体_GBK" w:cs="宋体"/>
                <w:sz w:val="18"/>
                <w:szCs w:val="18"/>
              </w:rPr>
              <w:t>(24)信托贷款：资产类型为信托公司设立的固定收益类信托计划，底层资产为向融资人泗阳县民康农村经济发展有限公司发放信托贷款，资产到期日不超过理财产品最近一次开放日。融资人评级为AA(评级机构为联合资信评估股份有限公司)，融资人第一大股东为泗阳县国有资产经营有限公司，持股比例为100%。经营范围包括:农副产品购销(涉及前置许可的除外);林木种植;水产养殖;粮食生产基地建设;农村道路、渠、桥设施建设;土地整治、土地复垦、中低产田改造及相关涉农项目建设;市政工程建设;园林绿化工程施工;非金融投资、国有资产投资(国家法律、法规禁止或限制的除外);国有资产经营、管理、转让中介服务;企业托管服务;房屋租赁;纺织品、针织品、纺织原料(国家专控产品除外)销售;房地产开发、经营;受政府委托从事建筑工程(保障房)建设。(依法须经批准的项目,经相关部门批准后方可开展经营活动)一般项目:以自有资金从事投资活动;电动汽车充电基础设施运营;集中式快速充电站;充电桩销售;新能源汽车换电设施销售;新能源汽车整车销售;新能源汽车电附件销售;建筑工程机械与设备租赁;专业设计服务(除依法须经批准的项目外,凭营业执照依法自主开展经营活动)</w:t>
            </w:r>
          </w:p>
          <w:p w14:paraId="55C50CAE">
            <w:pPr>
              <w:spacing w:line="200" w:lineRule="exact"/>
            </w:pPr>
            <w:r>
              <w:rPr>
                <w:rFonts w:ascii="方正黑体_GBK" w:hAnsi="方正黑体_GBK" w:eastAsia="方正黑体_GBK" w:cs="宋体"/>
                <w:sz w:val="18"/>
                <w:szCs w:val="18"/>
              </w:rPr>
              <w:t>(25)信托贷款：资产类型为信托公司设立的固定收益类信托计划，底层资产为向融资人南京创启科技发展有限公司发放信托贷款，资产到期日不超过理财产品最近一次开放日。融资人评级为AA-(评级机构为东方金诚国际信用评估有限公司)，融资人第一大股东为南京吉山国有资产运营集团有限公司，持股比例为51%。经营范围包括:高新技术企业孵化；建筑安装工程施工；房屋租赁；物业管理；停车场服务；企业管理服务；会务服务；展览展示服务。（依法须经批准的项目，经相关部门批准后方可开展经营活动）  一般项目：新材料技术研发；软件开发；园区管理服务；电子元器件制造；电子元器件批发；电子元器件零售（除依法须经批准的项目外，凭营业执照依法自主开展经营活动）</w:t>
            </w:r>
          </w:p>
          <w:p w14:paraId="52E81FA7">
            <w:pPr>
              <w:spacing w:line="200" w:lineRule="exact"/>
            </w:pPr>
            <w:r>
              <w:rPr>
                <w:rFonts w:ascii="方正黑体_GBK" w:hAnsi="方正黑体_GBK" w:eastAsia="方正黑体_GBK" w:cs="宋体"/>
                <w:sz w:val="18"/>
                <w:szCs w:val="18"/>
              </w:rPr>
              <w:t>(26)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1116CDCD">
            <w:pPr>
              <w:spacing w:line="200" w:lineRule="exact"/>
            </w:pPr>
            <w:r>
              <w:rPr>
                <w:rFonts w:ascii="方正黑体_GBK" w:hAnsi="方正黑体_GBK" w:eastAsia="方正黑体_GBK" w:cs="宋体"/>
                <w:sz w:val="18"/>
                <w:szCs w:val="18"/>
              </w:rPr>
              <w:t>(27)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100%。经营范围包括:交通基础设施建设、投资、开发、经营管理；房产经纪、物业管理(凭资质证书经营)。房地产开发经营。(依法须经批准的项目，经相关部门批准后方可开展经营活动)</w:t>
            </w:r>
          </w:p>
          <w:p w14:paraId="6CECFAF0">
            <w:pPr>
              <w:spacing w:line="200" w:lineRule="exact"/>
            </w:pPr>
            <w:r>
              <w:rPr>
                <w:rFonts w:ascii="方正黑体_GBK" w:hAnsi="方正黑体_GBK" w:eastAsia="方正黑体_GBK" w:cs="宋体"/>
                <w:sz w:val="18"/>
                <w:szCs w:val="18"/>
              </w:rPr>
              <w:t>(28)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100%。经营范围包括:建设项目投资、管理，历史文化街区修缮、改造、重建，房屋租赁，物业管理，房地产开发经营，城市基础设施建设工程、园林绿化工程施工，建筑材料销售(不仓储)。(依法须经批准的项目，经相关部门批准后方可开展经营活动)&gt;&gt;##许可项目：测绘服务；水产养殖；建设工程施工；文物保护工程施工；住宅室内装饰装修；建筑物拆除作业(爆破作业除外)；住宿服务；水利工程建设监理(依法须经批准的项目，经相关部门批准后方可开展经营活动，具体经营项目以审批结果为准)一般项目：水产品批发；蔬菜种植；农副产品销售；谷物种植；房屋拆迁服务；土地整治服务；公园、景区小型设施娱乐活动(除依法须经批准的项目外，凭营业执照依法自主开展经营活动)</w:t>
            </w:r>
          </w:p>
          <w:p w14:paraId="49E5C5AC">
            <w:pPr>
              <w:spacing w:line="200" w:lineRule="exact"/>
            </w:pPr>
            <w:r>
              <w:rPr>
                <w:rFonts w:ascii="方正黑体_GBK" w:hAnsi="方正黑体_GBK" w:eastAsia="方正黑体_GBK" w:cs="宋体"/>
                <w:sz w:val="18"/>
                <w:szCs w:val="18"/>
              </w:rPr>
              <w:t>(29)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14:paraId="214B96F7">
            <w:pPr>
              <w:spacing w:line="200" w:lineRule="exact"/>
            </w:pPr>
            <w:r>
              <w:rPr>
                <w:rFonts w:ascii="方正黑体_GBK" w:hAnsi="方正黑体_GBK" w:eastAsia="方正黑体_GBK" w:cs="宋体"/>
                <w:sz w:val="18"/>
                <w:szCs w:val="18"/>
              </w:rPr>
              <w:t>(30)信托贷款：资产类型为信托公司设立的固定收益类信托计划，底层资产为向融资人江苏润城城市投资控股集团有限公司发放信托贷款，资产到期日不超过理财产品最近一次开放日。融资人评级为AA+(评级机构为中诚信国际信用评级有限责任公司)，融资人第一大股东为邳州市财政局，持股比例为100%。经营范围包括:许可项目:房屋建筑和市政基础设施项目工程总承包;建设工程施工;旅游业务;房地产开发经营(依法须经批准的项目,经相关部门批准后方可开展经营活动,具体经营项目以审批结果为准)一般项目:以自有资金从事投资活动;自有资金投资的资产管理服务;土地整治服务;旅游开发项目策划咨询;创业空间服务;房屋拆迁服务;市政设施管理;供应链管理服务;商业综合体管理服务;企业管理;国内贸易代理;经济贸易咨询;集贸市场管理服务;物业管理;园区管理服务(除依法须经批准的项目外,凭营业执照依法自主开展经营活动)</w:t>
            </w:r>
          </w:p>
          <w:p w14:paraId="27A49155">
            <w:pPr>
              <w:spacing w:line="200" w:lineRule="exact"/>
            </w:pPr>
            <w:r>
              <w:rPr>
                <w:rFonts w:ascii="方正黑体_GBK" w:hAnsi="方正黑体_GBK" w:eastAsia="方正黑体_GBK" w:cs="宋体"/>
                <w:sz w:val="18"/>
                <w:szCs w:val="18"/>
              </w:rPr>
              <w:t>(31)信托贷款：资产类型为信托公司设立的固定收益类信托计划，底层资产为向融资人徐州高新技术产业开发区国有资产经营有限公司发放信托贷款，资产到期日不超过理财产品最近一次开放日。融资人评级为AA(评级机构为联合资信评估股份有限公司)，融资人第一大股东为徐州高新控股集团有限公司，持股比例为100%。经营范围包括:经营管理授权范围内的国有资产;国有资产产(股)权交易;国有资产投资、租赁、收购;投资项目的招标、投标;经营管理授权范围内的集体资产;高新区的建设和管理;土地一级开发;市政基础设施建设;建筑材料销售;货运代理服务。(依法须经批准的项目,经相关部门批准后方可开展经营活动)一般项目:住房租赁(除依法须经批准的项目外,凭营业执照依法自主开展经营活动)</w:t>
            </w:r>
          </w:p>
          <w:p w14:paraId="5DC60240">
            <w:pPr>
              <w:spacing w:line="200" w:lineRule="exact"/>
            </w:pPr>
            <w:r>
              <w:rPr>
                <w:rFonts w:ascii="方正黑体_GBK" w:hAnsi="方正黑体_GBK" w:eastAsia="方正黑体_GBK" w:cs="宋体"/>
                <w:sz w:val="18"/>
                <w:szCs w:val="18"/>
              </w:rPr>
              <w:t>(32)信托贷款：资产类型为信托公司设立的固定收益类信托计划，底层资产为向融资人沛县城市建设投资发展集团有限公司发放信托贷款，资产到期日不超过理财产品最近一次开放日。融资人评级为AA+(评级机构为中诚信国际信用评级有限责任公司)，融资人第一大股东为沛县人民政府国有资产监督管理办公室，持股比例为100%。经营范围包括:房屋建筑和市政基础设施项目工程总承包;各类工程建设活动;城市公共交通(依法须经批准的项目,经相关部门批准后方可开展经营活动,具体经营项目以审批结果为准)一般项目:以自有资金从事投资活动;创业投资(限投资未上市企业);对外承包工程;市政设施管理;农村民间工艺及制品、休闲农业和乡村旅游资源的开发经营;土地使用权租赁;非居住房地产租赁;住房租赁;机械设备租赁;医疗设备租赁;租赁服务(不含出版物出租);建筑工程机械与设备租赁;政府采购代理服务;采购代理服务;土地整治服务;集贸市场管理服务(除依法须经批准的项目外,凭营业执照依法自主开展经营活动)</w:t>
            </w:r>
          </w:p>
          <w:p w14:paraId="79A7E291">
            <w:pPr>
              <w:spacing w:line="200" w:lineRule="exact"/>
            </w:pPr>
            <w:r>
              <w:rPr>
                <w:rFonts w:ascii="方正黑体_GBK" w:hAnsi="方正黑体_GBK" w:eastAsia="方正黑体_GBK" w:cs="宋体"/>
                <w:sz w:val="18"/>
                <w:szCs w:val="18"/>
              </w:rPr>
              <w:t>(33)信托贷款：资产类型为信托公司设立的固定收益类信托计划，底层资产为向融资人泰州东方中国医药城控股集团有限公司发放信托贷款，资产到期日不超过理财产品最近一次开放日。融资人评级为AA(评级机构为上海新世纪资信评估投资服务有限公司)，融资人第一大股东为泰州医药城控股集团有限公司，持股比例为96.21%。经营范围包括:市场管理,医药会展服务,房屋、机械设备租赁,对外投资,医药技术开发服务,疫苗、生物药、化学药、医疗器械的技术研发(不含药品、医疗器械的生产销售),经济信息咨询服务,物业管理,从事授权范围内的国有资产的经营、资本运作,房屋建筑工程施工,城市基础设施建设,市政工程施工,土地整理,城市防洪工程建设的投资、建设、管理、维护,水土资源开发利用,水利工程设备物资采购、供应。(依法须经批准的项目,经相关部门批准后方可开展经营活动)许可项目:发电业务、输电业务、供(配)电业务;供电业务;输电、供电、受电电力设施的安装、维修和试验(依法须经批准的项目,经相关部门批准后方可开展经营活动,具体经营项目以审批结果为准)一般项目:金属材料销售;新型金属功能材料销售;有色金属合金销售;金属结构销售;建筑用钢筋产品销售;建筑用金属配件销售;房屋拆迁服务(除依法须经批准的项目外,凭营业执照依法自主开展经营活动)</w:t>
            </w:r>
          </w:p>
          <w:p w14:paraId="23394345">
            <w:pPr>
              <w:spacing w:line="200" w:lineRule="exact"/>
            </w:pPr>
            <w:r>
              <w:rPr>
                <w:rFonts w:ascii="方正黑体_GBK" w:hAnsi="方正黑体_GBK" w:eastAsia="方正黑体_GBK" w:cs="宋体"/>
                <w:sz w:val="18"/>
                <w:szCs w:val="18"/>
              </w:rPr>
              <w:t>(34)信托贷款：资产类型为信托公司设立的固定收益类信托计划，底层资产为向融资人江苏盐城港控股集团有限公司发放信托贷款，资产到期日不超过理财产品最近一次开放日。融资人评级为AA+(评级机构为东方金诚国际信用评估有限公司)，融资人第一大股东为盐城市大丰区人民政府，持股比例为29.7%。经营范围包括: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p w14:paraId="13469259">
            <w:pPr>
              <w:spacing w:line="200" w:lineRule="exact"/>
            </w:pPr>
            <w:r>
              <w:rPr>
                <w:rFonts w:ascii="方正黑体_GBK" w:hAnsi="方正黑体_GBK" w:eastAsia="方正黑体_GBK" w:cs="宋体"/>
                <w:sz w:val="18"/>
                <w:szCs w:val="18"/>
              </w:rPr>
              <w:t>(35)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14:paraId="06056D3C">
            <w:pPr>
              <w:spacing w:line="200" w:lineRule="exact"/>
            </w:pPr>
            <w:r>
              <w:rPr>
                <w:rFonts w:ascii="方正黑体_GBK" w:hAnsi="方正黑体_GBK" w:eastAsia="方正黑体_GBK" w:cs="宋体"/>
                <w:sz w:val="18"/>
                <w:szCs w:val="18"/>
              </w:rPr>
              <w:t>(36)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14:paraId="3E98CEA4">
            <w:pPr>
              <w:spacing w:line="200" w:lineRule="exact"/>
            </w:pPr>
            <w:r>
              <w:rPr>
                <w:rFonts w:ascii="方正黑体_GBK" w:hAnsi="方正黑体_GBK" w:eastAsia="方正黑体_GBK" w:cs="宋体"/>
                <w:sz w:val="18"/>
                <w:szCs w:val="18"/>
              </w:rPr>
              <w:t>(37)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14:paraId="13751025">
            <w:pPr>
              <w:spacing w:line="200" w:lineRule="exact"/>
            </w:pPr>
            <w:r>
              <w:rPr>
                <w:rFonts w:ascii="方正黑体_GBK" w:hAnsi="方正黑体_GBK" w:eastAsia="方正黑体_GBK" w:cs="宋体"/>
                <w:sz w:val="18"/>
                <w:szCs w:val="18"/>
              </w:rPr>
              <w:t>(38)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100%。经营范围包括:许可项目：建设工程施工(依法须经批准的项目，经相关部门批准后方可开展经营活动，具体经营项目以审批结果为准)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p w14:paraId="24B163EA">
            <w:pPr>
              <w:spacing w:line="200" w:lineRule="exact"/>
            </w:pPr>
            <w:r>
              <w:rPr>
                <w:rFonts w:ascii="方正黑体_GBK" w:hAnsi="方正黑体_GBK" w:eastAsia="方正黑体_GBK" w:cs="宋体"/>
                <w:sz w:val="18"/>
                <w:szCs w:val="18"/>
              </w:rPr>
              <w:t>(39)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14:paraId="7A4BD9A8">
            <w:pPr>
              <w:spacing w:line="200" w:lineRule="exact"/>
            </w:pPr>
            <w:r>
              <w:rPr>
                <w:rFonts w:ascii="方正黑体_GBK" w:hAnsi="方正黑体_GBK" w:eastAsia="方正黑体_GBK" w:cs="宋体"/>
                <w:sz w:val="18"/>
                <w:szCs w:val="18"/>
              </w:rPr>
              <w:t>(40)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100%。经营范围包括: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p w14:paraId="69A6F983">
            <w:pPr>
              <w:spacing w:line="200" w:lineRule="exact"/>
            </w:pPr>
            <w:r>
              <w:rPr>
                <w:rFonts w:ascii="方正黑体_GBK" w:hAnsi="方正黑体_GBK" w:eastAsia="方正黑体_GBK" w:cs="宋体"/>
                <w:sz w:val="18"/>
                <w:szCs w:val="18"/>
              </w:rPr>
              <w:t>(41)信托贷款：资产类型为信托公司设立的固定收益类信托计划，底层资产为向融资人如东县民泰城乡建设工程有限公司发放信托贷款，资产到期日不超过理财产品最近一次开放日。融资人评级为AA(评级机构为东方金诚国际信用评估有限公司)，融资人第一大股东为如东县金鑫交通工程建设投资有限公司，持股比例为100%。经营范围包括: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p w14:paraId="46870F40">
            <w:pPr>
              <w:spacing w:line="200" w:lineRule="exact"/>
            </w:pPr>
            <w:r>
              <w:rPr>
                <w:rFonts w:ascii="方正黑体_GBK" w:hAnsi="方正黑体_GBK" w:eastAsia="方正黑体_GBK" w:cs="宋体"/>
                <w:sz w:val="18"/>
                <w:szCs w:val="18"/>
              </w:rPr>
              <w:t>(42)信托贷款：资产类型为信托公司设立的固定收益类信托计划，底层资产为向融资人仪征市扬子文旅控股集团有限公司发放信托贷款，资产到期日不超过理财产品最近一次开放日。融资人评级为AA+(评级机构为联合资信评估股份有限公司)，融资人第一大股东为仪征市国有资产管理中心，持股比例为100%。经营范围包括: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0E277568">
            <w:pPr>
              <w:spacing w:line="200" w:lineRule="exact"/>
            </w:pPr>
            <w:r>
              <w:rPr>
                <w:rFonts w:ascii="方正黑体_GBK" w:hAnsi="方正黑体_GBK" w:eastAsia="方正黑体_GBK" w:cs="宋体"/>
                <w:sz w:val="18"/>
                <w:szCs w:val="18"/>
              </w:rPr>
              <w:t>(43)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14:paraId="579D4F66">
            <w:pPr>
              <w:spacing w:line="200" w:lineRule="exact"/>
            </w:pPr>
            <w:r>
              <w:rPr>
                <w:rFonts w:ascii="方正黑体_GBK" w:hAnsi="方正黑体_GBK" w:eastAsia="方正黑体_GBK" w:cs="宋体"/>
                <w:sz w:val="18"/>
                <w:szCs w:val="18"/>
              </w:rPr>
              <w:t>(44)信托贷款：资产类型为信托公司设立的固定收益类信托计划，底层资产为向融资人常州新运城市发展集团有限公司发放信托贷款，资产到期日不超过理财产品最近一次开放日。融资人评级为AA+(评级机构为中诚信国际信用评级有限责任公司)，融资人第一大股东为常州市人民政府国有资产监督管理委员会，持股比例为100%。经营范围包括:许可项目:建设工程施工(依法须经批准的项目,经相关部门批准后方可开展经营活动,具体经营项目以审批结果为准)一般项目:市政设施管理;工程管理服务;土地整治服务;以自有资金从事投资活动;创业投资(限投资未上市企业);住房租赁;物业管理;五金产品零售;电子元器件批发;化工产品销售(不含许可类化工产品);日用百货销售;办公设备销售;办公设备耗材销售;针纺织品销售;服装服饰零售;服装服饰批发;建筑材料销售;金属材料销售;建筑工程用机械销售;矿山机械销售;隧道施工专用机械销售;畜牧机械销售;气体压缩机械销售;铸造机械销售;农业机械销售;农林牧渔机械配件销售;机械零件、零部件销售;橡胶制品销售(除依法须经批准的项目外,凭营业执照依法自主开展经营活动)</w:t>
            </w:r>
          </w:p>
          <w:p w14:paraId="3F1C26AF">
            <w:pPr>
              <w:spacing w:line="200" w:lineRule="exact"/>
            </w:pPr>
            <w:r>
              <w:rPr>
                <w:rFonts w:ascii="方正黑体_GBK" w:hAnsi="方正黑体_GBK" w:eastAsia="方正黑体_GBK" w:cs="宋体"/>
                <w:sz w:val="18"/>
                <w:szCs w:val="18"/>
              </w:rPr>
              <w:t>(45)券商收益凭证：资产类型为证券公司发行的收益凭证，资产到期日不超过理财产品最近一次开放日，融资人为华宝证券股份有限公司，融资人评级为AA+（评级机构为联合资信评估股份有限公司）。</w:t>
            </w:r>
          </w:p>
          <w:p w14:paraId="06EACB75">
            <w:pPr>
              <w:spacing w:line="200" w:lineRule="exact"/>
            </w:pPr>
            <w:r>
              <w:rPr>
                <w:rFonts w:ascii="方正黑体_GBK" w:hAnsi="方正黑体_GBK" w:eastAsia="方正黑体_GBK" w:cs="宋体"/>
                <w:sz w:val="18"/>
                <w:szCs w:val="18"/>
              </w:rPr>
              <w:t>(46)券商收益凭证：资产类型为证券公司发行的收益凭证，资产到期日不超过理财产品最近一次开放日，融资人为上海证券有限责任公司，融资人评级为AAA（评级机构为上海新世纪资信评估投资服务有限公司）。</w:t>
            </w:r>
          </w:p>
          <w:p w14:paraId="11EA8FA8">
            <w:pPr>
              <w:spacing w:line="200" w:lineRule="exact"/>
            </w:pPr>
            <w:r>
              <w:rPr>
                <w:rFonts w:ascii="方正黑体_GBK" w:hAnsi="方正黑体_GBK" w:eastAsia="方正黑体_GBK" w:cs="宋体"/>
                <w:sz w:val="18"/>
                <w:szCs w:val="18"/>
              </w:rPr>
              <w:t>(47)券商收益凭证：资产类型为证券公司发行的收益凭证，资产到期日不超过理财产品最近一次开放日，融资人为山西证券股份有限公司，融资人评级为AAA（评级机构为中诚信国际信用评级有限责任公司）。</w:t>
            </w:r>
          </w:p>
          <w:p w14:paraId="27F869A8">
            <w:pPr>
              <w:spacing w:line="200" w:lineRule="exact"/>
            </w:pPr>
            <w:r>
              <w:rPr>
                <w:rFonts w:ascii="方正黑体_GBK" w:hAnsi="方正黑体_GBK" w:eastAsia="方正黑体_GBK" w:cs="宋体"/>
                <w:sz w:val="18"/>
                <w:szCs w:val="18"/>
              </w:rPr>
              <w:t>(48)券商收益凭证：资产类型为证券公司发行的收益凭证，资产到期日不超过理财产品最近一次开放日，融资人为中银国际证券股份有限公司，融资人评级为AAA（评级机构为中诚信国际信用评级有限责任公司）。</w:t>
            </w:r>
          </w:p>
          <w:p w14:paraId="709835CD">
            <w:pPr>
              <w:spacing w:line="200" w:lineRule="exact"/>
            </w:pPr>
            <w:r>
              <w:rPr>
                <w:rFonts w:ascii="方正黑体_GBK" w:hAnsi="方正黑体_GBK" w:eastAsia="方正黑体_GBK" w:cs="宋体"/>
                <w:sz w:val="18"/>
                <w:szCs w:val="18"/>
              </w:rPr>
              <w:t>(49)同业借款：资产类型为南银理财有限责任公司向持牌金融机构发放的同业借款，资产到期日不超过理财产品最近一次开放日，融资人为中国中信金融资产管理股份有限公司。</w:t>
            </w:r>
          </w:p>
          <w:p w14:paraId="01D3D083">
            <w:pPr>
              <w:spacing w:line="200" w:lineRule="exact"/>
            </w:pPr>
            <w:r>
              <w:rPr>
                <w:rFonts w:ascii="方正黑体_GBK" w:hAnsi="方正黑体_GBK" w:eastAsia="方正黑体_GBK" w:cs="宋体"/>
                <w:sz w:val="18"/>
                <w:szCs w:val="18"/>
              </w:rPr>
              <w:t>(50)同业借款：资产类型为南银理财有限责任公司向持牌金融机构发放的同业借款，资产到期日不超过理财产品最近一次开放日，融资人为中国东方资产管理股份有限公司。</w:t>
            </w:r>
          </w:p>
          <w:p w14:paraId="3338CD33">
            <w:pPr>
              <w:spacing w:line="200" w:lineRule="exact"/>
            </w:pPr>
            <w:r>
              <w:rPr>
                <w:rFonts w:ascii="方正黑体_GBK" w:hAnsi="方正黑体_GBK" w:eastAsia="方正黑体_GBK" w:cs="宋体"/>
                <w:sz w:val="18"/>
                <w:szCs w:val="18"/>
              </w:rPr>
              <w:t>(51)同业借款：资产类型为南银理财有限责任公司向持牌金融机构发放的同业借款，资产到期日不超过理财产品最近一次开放日，融资人为中国信达资产管理股份有限公司。</w:t>
            </w:r>
          </w:p>
          <w:p w14:paraId="539337AA">
            <w:pPr>
              <w:spacing w:line="200" w:lineRule="exact"/>
            </w:pPr>
            <w:r>
              <w:rPr>
                <w:rFonts w:ascii="方正黑体_GBK" w:hAnsi="方正黑体_GBK" w:eastAsia="方正黑体_GBK" w:cs="宋体"/>
                <w:sz w:val="18"/>
                <w:szCs w:val="18"/>
              </w:rPr>
              <w:t>(52)同业借款：资产类型为南银理财有限责任公司向持牌金融机构发放的同业借款，资产到期日不超过理财产品最近一次开放日，融资人为中国长城资产管理股份有限公司。</w:t>
            </w:r>
          </w:p>
          <w:p w14:paraId="0DF459E1">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651704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6A98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F333080">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ascii="方正黑体_GBK" w:hAnsi="方正黑体_GBK" w:eastAsia="方正黑体_GBK" w:cs="宋体"/>
                <w:b w:val="0"/>
                <w:i w:val="0"/>
                <w:caps w:val="0"/>
                <w:smallCaps w:val="0"/>
                <w:strike w:val="0"/>
                <w:dstrike w:val="0"/>
                <w:vanish w:val="0"/>
                <w:sz w:val="18"/>
                <w:szCs w:val="18"/>
              </w:rPr>
              <w:t>A份额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A2份额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A</w:t>
            </w:r>
            <w:r>
              <w:rPr>
                <w:rFonts w:hint="default" w:ascii="方正黑体_GBK" w:hAnsi="方正黑体_GBK" w:eastAsia="方正黑体_GBK" w:cs="宋体"/>
                <w:b w:val="0"/>
                <w:i w:val="0"/>
                <w:caps w:val="0"/>
                <w:smallCaps w:val="0"/>
                <w:strike w:val="0"/>
                <w:dstrike w:val="0"/>
                <w:vanish w:val="0"/>
                <w:sz w:val="18"/>
                <w:szCs w:val="18"/>
                <w:lang w:val="en-US" w:eastAsia="zh-CN"/>
              </w:rPr>
              <w:t>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A</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份额：业绩比较基准为年化2.7%-3.</w:t>
            </w:r>
            <w:r>
              <w:rPr>
                <w:rFonts w:hint="eastAsia" w:ascii="方正黑体_GBK" w:hAnsi="方正黑体_GBK" w:eastAsia="方正黑体_GBK" w:cs="宋体"/>
                <w:b w:val="0"/>
                <w:i w:val="0"/>
                <w:caps w:val="0"/>
                <w:smallCaps w:val="0"/>
                <w:strike w:val="0"/>
                <w:dstrike w:val="0"/>
                <w:vanish w:val="0"/>
                <w:sz w:val="18"/>
                <w:szCs w:val="18"/>
                <w:lang w:val="en-US" w:eastAsia="zh-CN"/>
              </w:rPr>
              <w:t>0</w:t>
            </w:r>
            <w:r>
              <w:rPr>
                <w:rFonts w:ascii="方正黑体_GBK" w:hAnsi="方正黑体_GBK" w:eastAsia="方正黑体_GBK" w:cs="宋体"/>
                <w:b w:val="0"/>
                <w:i w:val="0"/>
                <w:caps w:val="0"/>
                <w:smallCaps w:val="0"/>
                <w:strike w:val="0"/>
                <w:dstrike w:val="0"/>
                <w:vanish w:val="0"/>
                <w:sz w:val="18"/>
                <w:szCs w:val="18"/>
              </w:rPr>
              <w:t>% 。</w:t>
            </w:r>
          </w:p>
          <w:p w14:paraId="280854DD">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B</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/B</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/B3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/B</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份额：业绩比较基准为年化2.7%-3.</w:t>
            </w:r>
            <w:r>
              <w:rPr>
                <w:rFonts w:hint="eastAsia" w:ascii="方正黑体_GBK" w:hAnsi="方正黑体_GBK" w:eastAsia="方正黑体_GBK" w:cs="宋体"/>
                <w:b w:val="0"/>
                <w:i w:val="0"/>
                <w:caps w:val="0"/>
                <w:smallCaps w:val="0"/>
                <w:strike w:val="0"/>
                <w:dstrike w:val="0"/>
                <w:vanish w:val="0"/>
                <w:sz w:val="18"/>
                <w:szCs w:val="18"/>
                <w:lang w:val="en-US" w:eastAsia="zh-CN"/>
              </w:rPr>
              <w:t>0</w:t>
            </w:r>
            <w:r>
              <w:rPr>
                <w:rFonts w:ascii="方正黑体_GBK" w:hAnsi="方正黑体_GBK" w:eastAsia="方正黑体_GBK" w:cs="宋体"/>
                <w:b w:val="0"/>
                <w:i w:val="0"/>
                <w:caps w:val="0"/>
                <w:smallCaps w:val="0"/>
                <w:strike w:val="0"/>
                <w:dstrike w:val="0"/>
                <w:vanish w:val="0"/>
                <w:sz w:val="18"/>
                <w:szCs w:val="18"/>
              </w:rPr>
              <w:t>% 。</w:t>
            </w:r>
          </w:p>
          <w:p w14:paraId="0A013827">
            <w:pPr>
              <w:shd w:val="clear" w:color="auto" w:fill="auto"/>
              <w:spacing w:line="200" w:lineRule="exact"/>
              <w:jc w:val="left"/>
              <w:rPr>
                <w:rFonts w:hint="default" w:ascii="方正黑体_GBK" w:hAnsi="方正黑体_GBK" w:eastAsia="方正黑体_GBK" w:cs="宋体"/>
                <w:b w:val="0"/>
                <w:i w:val="0"/>
                <w:caps w:val="0"/>
                <w:smallCaps w:val="0"/>
                <w:strike w:val="0"/>
                <w:dstrike w:val="0"/>
                <w:vanish w:val="0"/>
                <w:sz w:val="18"/>
                <w:szCs w:val="18"/>
                <w:lang w:val="en-US" w:eastAsia="zh-CN"/>
              </w:rPr>
            </w:pPr>
            <w:r>
              <w:rPr>
                <w:rFonts w:hint="default" w:ascii="方正黑体_GBK" w:hAnsi="方正黑体_GBK" w:eastAsia="方正黑体_GBK" w:cs="宋体"/>
                <w:b w:val="0"/>
                <w:i w:val="0"/>
                <w:caps w:val="0"/>
                <w:smallCaps w:val="0"/>
                <w:strike w:val="0"/>
                <w:dstrike w:val="0"/>
                <w:vanish w:val="0"/>
                <w:sz w:val="18"/>
                <w:szCs w:val="18"/>
                <w:lang w:val="en-US" w:eastAsia="zh-CN"/>
              </w:rPr>
              <w:t>C</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/C</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/C3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/C</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份额：业绩比较基准为年化2.8%-3.</w:t>
            </w:r>
            <w:r>
              <w:rPr>
                <w:rFonts w:hint="eastAsia" w:ascii="方正黑体_GBK" w:hAnsi="方正黑体_GBK" w:eastAsia="方正黑体_GBK" w:cs="宋体"/>
                <w:b w:val="0"/>
                <w:i w:val="0"/>
                <w:caps w:val="0"/>
                <w:smallCaps w:val="0"/>
                <w:strike w:val="0"/>
                <w:dstrike w:val="0"/>
                <w:vanish w:val="0"/>
                <w:sz w:val="18"/>
                <w:szCs w:val="18"/>
                <w:lang w:val="en-US" w:eastAsia="zh-CN"/>
              </w:rPr>
              <w:t>1</w:t>
            </w:r>
            <w:r>
              <w:rPr>
                <w:rFonts w:ascii="方正黑体_GBK" w:hAnsi="方正黑体_GBK" w:eastAsia="方正黑体_GBK" w:cs="宋体"/>
                <w:b w:val="0"/>
                <w:i w:val="0"/>
                <w:caps w:val="0"/>
                <w:smallCaps w:val="0"/>
                <w:strike w:val="0"/>
                <w:dstrike w:val="0"/>
                <w:vanish w:val="0"/>
                <w:sz w:val="18"/>
                <w:szCs w:val="18"/>
              </w:rPr>
              <w:t>% 。</w:t>
            </w:r>
          </w:p>
          <w:p w14:paraId="4636EAA3">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D</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/D</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/D3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/D</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份额：业绩比较基准为年化2.85%-3.</w:t>
            </w:r>
            <w:r>
              <w:rPr>
                <w:rFonts w:hint="eastAsia" w:ascii="方正黑体_GBK" w:hAnsi="方正黑体_GBK" w:eastAsia="方正黑体_GBK" w:cs="宋体"/>
                <w:b w:val="0"/>
                <w:i w:val="0"/>
                <w:caps w:val="0"/>
                <w:smallCaps w:val="0"/>
                <w:strike w:val="0"/>
                <w:dstrike w:val="0"/>
                <w:vanish w:val="0"/>
                <w:sz w:val="18"/>
                <w:szCs w:val="18"/>
                <w:lang w:val="en-US" w:eastAsia="zh-CN"/>
              </w:rPr>
              <w:t>1</w:t>
            </w:r>
            <w:r>
              <w:rPr>
                <w:rFonts w:ascii="方正黑体_GBK" w:hAnsi="方正黑体_GBK" w:eastAsia="方正黑体_GBK" w:cs="宋体"/>
                <w:b w:val="0"/>
                <w:i w:val="0"/>
                <w:caps w:val="0"/>
                <w:smallCaps w:val="0"/>
                <w:strike w:val="0"/>
                <w:dstrike w:val="0"/>
                <w:vanish w:val="0"/>
                <w:sz w:val="18"/>
                <w:szCs w:val="18"/>
              </w:rPr>
              <w:t>5% 。</w:t>
            </w:r>
          </w:p>
          <w:p w14:paraId="2E0AA50B">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E</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/E</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/E3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/E</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份额：业绩比较基准为年化2.95%-3.</w:t>
            </w:r>
            <w:r>
              <w:rPr>
                <w:rFonts w:hint="eastAsia" w:ascii="方正黑体_GBK" w:hAnsi="方正黑体_GBK" w:eastAsia="方正黑体_GBK" w:cs="宋体"/>
                <w:b w:val="0"/>
                <w:i w:val="0"/>
                <w:caps w:val="0"/>
                <w:smallCaps w:val="0"/>
                <w:strike w:val="0"/>
                <w:dstrike w:val="0"/>
                <w:vanish w:val="0"/>
                <w:sz w:val="18"/>
                <w:szCs w:val="18"/>
                <w:lang w:val="en-US" w:eastAsia="zh-CN"/>
              </w:rPr>
              <w:t>2</w:t>
            </w:r>
            <w:r>
              <w:rPr>
                <w:rFonts w:ascii="方正黑体_GBK" w:hAnsi="方正黑体_GBK" w:eastAsia="方正黑体_GBK" w:cs="宋体"/>
                <w:b w:val="0"/>
                <w:i w:val="0"/>
                <w:caps w:val="0"/>
                <w:smallCaps w:val="0"/>
                <w:strike w:val="0"/>
                <w:dstrike w:val="0"/>
                <w:vanish w:val="0"/>
                <w:sz w:val="18"/>
                <w:szCs w:val="18"/>
              </w:rPr>
              <w:t>5% 。</w:t>
            </w:r>
          </w:p>
          <w:p w14:paraId="52438EB3">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F</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/F</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/F3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/F</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w:t>
            </w:r>
            <w:r>
              <w:rPr>
                <w:rFonts w:hint="default" w:ascii="方正黑体_GBK" w:hAnsi="方正黑体_GBK" w:eastAsia="方正黑体_GBK" w:cs="宋体"/>
                <w:b w:val="0"/>
                <w:i w:val="0"/>
                <w:caps w:val="0"/>
                <w:smallCaps w:val="0"/>
                <w:strike w:val="0"/>
                <w:dstrike w:val="0"/>
                <w:vanish w:val="0"/>
                <w:sz w:val="18"/>
                <w:szCs w:val="18"/>
                <w:lang w:val="en-US" w:eastAsia="zh-CN"/>
              </w:rPr>
              <w:t>8</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1</w:t>
            </w:r>
            <w:r>
              <w:rPr>
                <w:rFonts w:ascii="方正黑体_GBK" w:hAnsi="方正黑体_GBK" w:eastAsia="方正黑体_GBK" w:cs="宋体"/>
                <w:b w:val="0"/>
                <w:i w:val="0"/>
                <w:caps w:val="0"/>
                <w:smallCaps w:val="0"/>
                <w:strike w:val="0"/>
                <w:dstrike w:val="0"/>
                <w:vanish w:val="0"/>
                <w:sz w:val="18"/>
                <w:szCs w:val="18"/>
              </w:rPr>
              <w:t>% 。</w:t>
            </w:r>
          </w:p>
          <w:p w14:paraId="11D75EDE">
            <w:pPr>
              <w:shd w:val="clear" w:color="auto" w:fill="auto"/>
              <w:spacing w:line="200" w:lineRule="exact"/>
              <w:jc w:val="left"/>
              <w:rPr>
                <w:rFonts w:hint="eastAsia" w:ascii="方正黑体_GBK" w:hAnsi="方正黑体_GBK" w:eastAsia="方正黑体_GBK" w:cs="宋体"/>
                <w:b w:val="0"/>
                <w:i w:val="0"/>
                <w:caps w:val="0"/>
                <w:smallCaps w:val="0"/>
                <w:strike w:val="0"/>
                <w:dstrike w:val="0"/>
                <w:vanish w:val="0"/>
                <w:sz w:val="18"/>
                <w:szCs w:val="18"/>
                <w:lang w:val="en-US" w:eastAsia="zh-CN"/>
              </w:rPr>
            </w:pPr>
            <w:r>
              <w:rPr>
                <w:rFonts w:hint="eastAsia" w:ascii="方正黑体_GBK" w:hAnsi="方正黑体_GBK" w:eastAsia="方正黑体_GBK" w:cs="宋体"/>
                <w:b w:val="0"/>
                <w:i w:val="0"/>
                <w:caps w:val="0"/>
                <w:smallCaps w:val="0"/>
                <w:strike w:val="0"/>
                <w:dstrike w:val="0"/>
                <w:vanish w:val="0"/>
                <w:sz w:val="18"/>
                <w:szCs w:val="18"/>
                <w:lang w:val="en-US" w:eastAsia="zh-CN"/>
              </w:rPr>
              <w:t>G</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hint="eastAsia" w:ascii="方正黑体_GBK" w:hAnsi="方正黑体_GBK" w:eastAsia="方正黑体_GBK" w:cs="宋体"/>
                <w:b w:val="0"/>
                <w:i w:val="0"/>
                <w:caps w:val="0"/>
                <w:smallCaps w:val="0"/>
                <w:strike w:val="0"/>
                <w:dstrike w:val="0"/>
                <w:vanish w:val="0"/>
                <w:sz w:val="18"/>
                <w:szCs w:val="18"/>
                <w:lang w:val="en-US" w:eastAsia="zh-CN"/>
              </w:rPr>
              <w:t>G</w:t>
            </w:r>
            <w:r>
              <w:rPr>
                <w:rFonts w:hint="default" w:ascii="方正黑体_GBK" w:hAnsi="方正黑体_GBK" w:eastAsia="方正黑体_GBK" w:cs="宋体"/>
                <w:b w:val="0"/>
                <w:i w:val="0"/>
                <w:caps w:val="0"/>
                <w:smallCaps w:val="0"/>
                <w:strike w:val="0"/>
                <w:dstrike w:val="0"/>
                <w:vanish w:val="0"/>
                <w:sz w:val="18"/>
                <w:szCs w:val="18"/>
                <w:lang w:val="en-US" w:eastAsia="zh-CN"/>
              </w:rPr>
              <w:t>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hint="eastAsia" w:ascii="方正黑体_GBK" w:hAnsi="方正黑体_GBK" w:eastAsia="方正黑体_GBK" w:cs="宋体"/>
                <w:b w:val="0"/>
                <w:i w:val="0"/>
                <w:caps w:val="0"/>
                <w:smallCaps w:val="0"/>
                <w:strike w:val="0"/>
                <w:dstrike w:val="0"/>
                <w:vanish w:val="0"/>
                <w:sz w:val="18"/>
                <w:szCs w:val="18"/>
                <w:lang w:val="en-US" w:eastAsia="zh-CN"/>
              </w:rPr>
              <w:t>G4</w:t>
            </w:r>
            <w:r>
              <w:rPr>
                <w:rFonts w:ascii="方正黑体_GBK" w:hAnsi="方正黑体_GBK" w:eastAsia="方正黑体_GBK" w:cs="宋体"/>
                <w:b w:val="0"/>
                <w:i w:val="0"/>
                <w:caps w:val="0"/>
                <w:smallCaps w:val="0"/>
                <w:strike w:val="0"/>
                <w:dstrike w:val="0"/>
                <w:vanish w:val="0"/>
                <w:sz w:val="18"/>
                <w:szCs w:val="18"/>
              </w:rPr>
              <w:t>份额</w:t>
            </w:r>
            <w:r>
              <w:rPr>
                <w:rFonts w:hint="eastAsia"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业绩比较基准为年化2.</w:t>
            </w:r>
            <w:r>
              <w:rPr>
                <w:rFonts w:hint="eastAsia" w:ascii="方正黑体_GBK" w:hAnsi="方正黑体_GBK" w:eastAsia="方正黑体_GBK" w:cs="宋体"/>
                <w:b w:val="0"/>
                <w:i w:val="0"/>
                <w:caps w:val="0"/>
                <w:smallCaps w:val="0"/>
                <w:strike w:val="0"/>
                <w:dstrike w:val="0"/>
                <w:vanish w:val="0"/>
                <w:sz w:val="18"/>
                <w:szCs w:val="18"/>
                <w:lang w:val="en-US" w:eastAsia="zh-CN"/>
              </w:rPr>
              <w:t>9</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2</w:t>
            </w:r>
            <w:r>
              <w:rPr>
                <w:rFonts w:ascii="方正黑体_GBK" w:hAnsi="方正黑体_GBK" w:eastAsia="方正黑体_GBK" w:cs="宋体"/>
                <w:b w:val="0"/>
                <w:i w:val="0"/>
                <w:caps w:val="0"/>
                <w:smallCaps w:val="0"/>
                <w:strike w:val="0"/>
                <w:dstrike w:val="0"/>
                <w:vanish w:val="0"/>
                <w:sz w:val="18"/>
                <w:szCs w:val="18"/>
              </w:rPr>
              <w:t>% 。</w:t>
            </w:r>
          </w:p>
          <w:p w14:paraId="21003D34">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eastAsia" w:ascii="方正黑体_GBK" w:hAnsi="方正黑体_GBK" w:eastAsia="方正黑体_GBK" w:cs="宋体"/>
                <w:b w:val="0"/>
                <w:i w:val="0"/>
                <w:caps w:val="0"/>
                <w:smallCaps w:val="0"/>
                <w:strike w:val="0"/>
                <w:dstrike w:val="0"/>
                <w:vanish w:val="0"/>
                <w:sz w:val="18"/>
                <w:szCs w:val="18"/>
                <w:lang w:val="en-US" w:eastAsia="zh-CN"/>
              </w:rPr>
              <w:t>H3份额：</w:t>
            </w:r>
            <w:r>
              <w:rPr>
                <w:rFonts w:ascii="方正黑体_GBK" w:hAnsi="方正黑体_GBK" w:eastAsia="方正黑体_GBK" w:cs="宋体"/>
                <w:b w:val="0"/>
                <w:i w:val="0"/>
                <w:caps w:val="0"/>
                <w:smallCaps w:val="0"/>
                <w:strike w:val="0"/>
                <w:dstrike w:val="0"/>
                <w:vanish w:val="0"/>
                <w:sz w:val="18"/>
                <w:szCs w:val="18"/>
              </w:rPr>
              <w:t>绩比较基准为年化</w:t>
            </w:r>
            <w:r>
              <w:rPr>
                <w:rFonts w:hint="eastAsia" w:ascii="方正黑体_GBK" w:hAnsi="方正黑体_GBK" w:eastAsia="方正黑体_GBK" w:cs="宋体"/>
                <w:b w:val="0"/>
                <w:i w:val="0"/>
                <w:caps w:val="0"/>
                <w:smallCaps w:val="0"/>
                <w:strike w:val="0"/>
                <w:dstrike w:val="0"/>
                <w:vanish w:val="0"/>
                <w:sz w:val="18"/>
                <w:szCs w:val="18"/>
                <w:lang w:val="en-US" w:eastAsia="zh-CN"/>
              </w:rPr>
              <w:t>3.0</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3</w:t>
            </w:r>
            <w:r>
              <w:rPr>
                <w:rFonts w:ascii="方正黑体_GBK" w:hAnsi="方正黑体_GBK" w:eastAsia="方正黑体_GBK" w:cs="宋体"/>
                <w:b w:val="0"/>
                <w:i w:val="0"/>
                <w:caps w:val="0"/>
                <w:smallCaps w:val="0"/>
                <w:strike w:val="0"/>
                <w:dstrike w:val="0"/>
                <w:vanish w:val="0"/>
                <w:sz w:val="18"/>
                <w:szCs w:val="18"/>
              </w:rPr>
              <w:t>% 。</w:t>
            </w:r>
          </w:p>
          <w:p w14:paraId="309EBE1A">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eastAsia" w:ascii="方正黑体_GBK" w:hAnsi="方正黑体_GBK" w:eastAsia="方正黑体_GBK" w:cs="宋体"/>
                <w:b w:val="0"/>
                <w:i w:val="0"/>
                <w:caps w:val="0"/>
                <w:smallCaps w:val="0"/>
                <w:strike w:val="0"/>
                <w:dstrike w:val="0"/>
                <w:vanish w:val="0"/>
                <w:sz w:val="18"/>
                <w:szCs w:val="18"/>
                <w:lang w:val="en-US" w:eastAsia="zh-CN"/>
              </w:rPr>
              <w:t>I</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hint="eastAsia" w:ascii="方正黑体_GBK" w:hAnsi="方正黑体_GBK" w:eastAsia="方正黑体_GBK" w:cs="宋体"/>
                <w:b w:val="0"/>
                <w:i w:val="0"/>
                <w:caps w:val="0"/>
                <w:smallCaps w:val="0"/>
                <w:strike w:val="0"/>
                <w:dstrike w:val="0"/>
                <w:vanish w:val="0"/>
                <w:sz w:val="18"/>
                <w:szCs w:val="18"/>
                <w:lang w:val="en-US" w:eastAsia="zh-CN"/>
              </w:rPr>
              <w:t>I</w:t>
            </w:r>
            <w:r>
              <w:rPr>
                <w:rFonts w:ascii="方正黑体_GBK" w:hAnsi="方正黑体_GBK" w:eastAsia="方正黑体_GBK" w:cs="宋体"/>
                <w:b w:val="0"/>
                <w:i w:val="0"/>
                <w:caps w:val="0"/>
                <w:smallCaps w:val="0"/>
                <w:strike w:val="0"/>
                <w:dstrike w:val="0"/>
                <w:vanish w:val="0"/>
                <w:sz w:val="18"/>
                <w:szCs w:val="18"/>
              </w:rPr>
              <w:t>2份额</w:t>
            </w:r>
            <w:r>
              <w:rPr>
                <w:rFonts w:hint="eastAsia"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绩比较基准为年化</w:t>
            </w:r>
            <w:r>
              <w:rPr>
                <w:rFonts w:hint="eastAsia" w:ascii="方正黑体_GBK" w:hAnsi="方正黑体_GBK" w:eastAsia="方正黑体_GBK" w:cs="宋体"/>
                <w:b w:val="0"/>
                <w:i w:val="0"/>
                <w:caps w:val="0"/>
                <w:smallCaps w:val="0"/>
                <w:strike w:val="0"/>
                <w:dstrike w:val="0"/>
                <w:vanish w:val="0"/>
                <w:sz w:val="18"/>
                <w:szCs w:val="18"/>
                <w:lang w:val="en-US" w:eastAsia="zh-CN"/>
              </w:rPr>
              <w:t>3.05</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35</w:t>
            </w:r>
            <w:r>
              <w:rPr>
                <w:rFonts w:ascii="方正黑体_GBK" w:hAnsi="方正黑体_GBK" w:eastAsia="方正黑体_GBK" w:cs="宋体"/>
                <w:b w:val="0"/>
                <w:i w:val="0"/>
                <w:caps w:val="0"/>
                <w:smallCaps w:val="0"/>
                <w:strike w:val="0"/>
                <w:dstrike w:val="0"/>
                <w:vanish w:val="0"/>
                <w:sz w:val="18"/>
                <w:szCs w:val="18"/>
              </w:rPr>
              <w:t>% 。</w:t>
            </w:r>
          </w:p>
          <w:p w14:paraId="16A4162F">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23A80310">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21E4A53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006BB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768B3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712D4EA">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认/申购费：本理财产品暂不收取认/申购费。</w:t>
            </w:r>
          </w:p>
          <w:p w14:paraId="7E0CAB00">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赎回费：本理财产品暂不收取赎回费。</w:t>
            </w:r>
          </w:p>
          <w:p w14:paraId="0F47859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销售费：本理财产品按前一日理财产品资产净值收取销售费，按日计提。</w:t>
            </w:r>
          </w:p>
          <w:p w14:paraId="21FD534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份额：销售费年化0.2%</w:t>
            </w:r>
          </w:p>
          <w:p w14:paraId="0F85ABEA">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/B4</w:t>
            </w:r>
            <w:r>
              <w:rPr>
                <w:rFonts w:ascii="方正黑体_GBK" w:hAnsi="方正黑体_GBK" w:eastAsia="方正黑体_GBK" w:cs="宋体"/>
                <w:b/>
                <w:bCs/>
                <w:i w:val="0"/>
                <w:caps w:val="0"/>
                <w:smallCaps w:val="0"/>
                <w:strike w:val="0"/>
                <w:dstrike w:val="0"/>
                <w:vanish w:val="0"/>
                <w:color w:val="000000"/>
                <w:sz w:val="18"/>
                <w:szCs w:val="18"/>
              </w:rPr>
              <w:t>份额：销售费年化0.2%</w:t>
            </w:r>
          </w:p>
          <w:p w14:paraId="15C56B3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/C4</w:t>
            </w:r>
            <w:r>
              <w:rPr>
                <w:rFonts w:ascii="方正黑体_GBK" w:hAnsi="方正黑体_GBK" w:eastAsia="方正黑体_GBK" w:cs="宋体"/>
                <w:b/>
                <w:bCs/>
                <w:i w:val="0"/>
                <w:caps w:val="0"/>
                <w:smallCaps w:val="0"/>
                <w:strike w:val="0"/>
                <w:dstrike w:val="0"/>
                <w:vanish w:val="0"/>
                <w:color w:val="000000"/>
                <w:sz w:val="18"/>
                <w:szCs w:val="18"/>
              </w:rPr>
              <w:t>份额：销售费年化0.15%</w:t>
            </w:r>
          </w:p>
          <w:p w14:paraId="5E7AC21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/D4</w:t>
            </w:r>
            <w:r>
              <w:rPr>
                <w:rFonts w:ascii="方正黑体_GBK" w:hAnsi="方正黑体_GBK" w:eastAsia="方正黑体_GBK" w:cs="宋体"/>
                <w:b/>
                <w:bCs/>
                <w:i w:val="0"/>
                <w:caps w:val="0"/>
                <w:smallCaps w:val="0"/>
                <w:strike w:val="0"/>
                <w:dstrike w:val="0"/>
                <w:vanish w:val="0"/>
                <w:color w:val="000000"/>
                <w:sz w:val="18"/>
                <w:szCs w:val="18"/>
              </w:rPr>
              <w:t>份额：销售费年化0.15%</w:t>
            </w:r>
          </w:p>
          <w:p w14:paraId="68A52A3D">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/E4</w:t>
            </w:r>
            <w:r>
              <w:rPr>
                <w:rFonts w:ascii="方正黑体_GBK" w:hAnsi="方正黑体_GBK" w:eastAsia="方正黑体_GBK" w:cs="宋体"/>
                <w:b/>
                <w:bCs/>
                <w:i w:val="0"/>
                <w:caps w:val="0"/>
                <w:smallCaps w:val="0"/>
                <w:strike w:val="0"/>
                <w:dstrike w:val="0"/>
                <w:vanish w:val="0"/>
                <w:color w:val="000000"/>
                <w:sz w:val="18"/>
                <w:szCs w:val="18"/>
              </w:rPr>
              <w:t>份额：销售费年化0.05%</w:t>
            </w:r>
          </w:p>
          <w:p w14:paraId="476A9F9D">
            <w:pPr>
              <w:shd w:val="clear" w:color="auto" w:fill="auto"/>
              <w:spacing w:line="200" w:lineRule="exact"/>
              <w:jc w:val="left"/>
              <w:rPr>
                <w:rFonts w:hint="default"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/F3</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/F4</w:t>
            </w:r>
            <w:r>
              <w:rPr>
                <w:rFonts w:hint="default" w:ascii="方正黑体_GBK" w:hAnsi="方正黑体_GBK" w:eastAsia="方正黑体_GBK" w:cs="宋体"/>
                <w:b/>
                <w:bCs/>
                <w:i w:val="0"/>
                <w:caps w:val="0"/>
                <w:smallCaps w:val="0"/>
                <w:strike w:val="0"/>
                <w:dstrike w:val="0"/>
                <w:vanish w:val="0"/>
                <w:color w:val="000000"/>
                <w:sz w:val="18"/>
                <w:szCs w:val="18"/>
              </w:rPr>
              <w:t>份额：销售费年化0.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2</w:t>
            </w:r>
            <w:r>
              <w:rPr>
                <w:rFonts w:hint="default" w:ascii="方正黑体_GBK" w:hAnsi="方正黑体_GBK" w:eastAsia="方正黑体_GBK" w:cs="宋体"/>
                <w:b/>
                <w:bCs/>
                <w:i w:val="0"/>
                <w:caps w:val="0"/>
                <w:smallCaps w:val="0"/>
                <w:strike w:val="0"/>
                <w:dstrike w:val="0"/>
                <w:vanish w:val="0"/>
                <w:color w:val="000000"/>
                <w:sz w:val="18"/>
                <w:szCs w:val="18"/>
              </w:rPr>
              <w:t>%</w:t>
            </w:r>
          </w:p>
          <w:p w14:paraId="4AE266E4">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/G4</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销售费年化0.1%</w:t>
            </w:r>
          </w:p>
          <w:p w14:paraId="0CDC5CBE">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H3份额：</w:t>
            </w:r>
            <w:r>
              <w:rPr>
                <w:rFonts w:ascii="方正黑体_GBK" w:hAnsi="方正黑体_GBK" w:eastAsia="方正黑体_GBK" w:cs="宋体"/>
                <w:b/>
                <w:bCs/>
                <w:i w:val="0"/>
                <w:caps w:val="0"/>
                <w:smallCaps w:val="0"/>
                <w:strike w:val="0"/>
                <w:dstrike w:val="0"/>
                <w:vanish w:val="0"/>
                <w:color w:val="000000"/>
                <w:sz w:val="18"/>
                <w:szCs w:val="18"/>
              </w:rPr>
              <w:t>销售费年化0.1%</w:t>
            </w:r>
          </w:p>
          <w:p w14:paraId="647C69CF">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销售费年化0.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08</w:t>
            </w:r>
            <w:r>
              <w:rPr>
                <w:rFonts w:ascii="方正黑体_GBK" w:hAnsi="方正黑体_GBK" w:eastAsia="方正黑体_GBK" w:cs="宋体"/>
                <w:b/>
                <w:bCs/>
                <w:i w:val="0"/>
                <w:caps w:val="0"/>
                <w:smallCaps w:val="0"/>
                <w:strike w:val="0"/>
                <w:dstrike w:val="0"/>
                <w:vanish w:val="0"/>
                <w:color w:val="000000"/>
                <w:sz w:val="18"/>
                <w:szCs w:val="18"/>
              </w:rPr>
              <w:t>%</w:t>
            </w:r>
          </w:p>
          <w:p w14:paraId="5D81B4D0">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每日计提的销售费=前一日理财产品资产净值×年化销售费率÷365</w:t>
            </w:r>
          </w:p>
          <w:p w14:paraId="4C375C3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固定管理费：本理财产品按前一日理财产品资产净值收取固定管理费，按日计提。</w:t>
            </w:r>
          </w:p>
          <w:p w14:paraId="0D618BD1">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份额：固定管理费年化0.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w:t>
            </w:r>
          </w:p>
          <w:p w14:paraId="4BCC55FD">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/B4</w:t>
            </w:r>
            <w:r>
              <w:rPr>
                <w:rFonts w:ascii="方正黑体_GBK" w:hAnsi="方正黑体_GBK" w:eastAsia="方正黑体_GBK" w:cs="宋体"/>
                <w:b/>
                <w:bCs/>
                <w:i w:val="0"/>
                <w:caps w:val="0"/>
                <w:smallCaps w:val="0"/>
                <w:strike w:val="0"/>
                <w:dstrike w:val="0"/>
                <w:vanish w:val="0"/>
                <w:color w:val="000000"/>
                <w:sz w:val="18"/>
                <w:szCs w:val="18"/>
              </w:rPr>
              <w:t>份额：固定管理费年化0.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w:t>
            </w:r>
          </w:p>
          <w:p w14:paraId="1466985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/C4</w:t>
            </w:r>
            <w:r>
              <w:rPr>
                <w:rFonts w:ascii="方正黑体_GBK" w:hAnsi="方正黑体_GBK" w:eastAsia="方正黑体_GBK" w:cs="宋体"/>
                <w:b/>
                <w:bCs/>
                <w:i w:val="0"/>
                <w:caps w:val="0"/>
                <w:smallCaps w:val="0"/>
                <w:strike w:val="0"/>
                <w:dstrike w:val="0"/>
                <w:vanish w:val="0"/>
                <w:color w:val="000000"/>
                <w:sz w:val="18"/>
                <w:szCs w:val="18"/>
              </w:rPr>
              <w:t>份额：固定管理费年化0.35%</w:t>
            </w:r>
          </w:p>
          <w:p w14:paraId="0CBAD85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/D4</w:t>
            </w:r>
            <w:r>
              <w:rPr>
                <w:rFonts w:ascii="方正黑体_GBK" w:hAnsi="方正黑体_GBK" w:eastAsia="方正黑体_GBK" w:cs="宋体"/>
                <w:b/>
                <w:bCs/>
                <w:i w:val="0"/>
                <w:caps w:val="0"/>
                <w:smallCaps w:val="0"/>
                <w:strike w:val="0"/>
                <w:dstrike w:val="0"/>
                <w:vanish w:val="0"/>
                <w:color w:val="000000"/>
                <w:sz w:val="18"/>
                <w:szCs w:val="18"/>
              </w:rPr>
              <w:t>份额：固定管理费年化0.3%</w:t>
            </w:r>
          </w:p>
          <w:p w14:paraId="2CE8952C">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/E4</w:t>
            </w:r>
            <w:r>
              <w:rPr>
                <w:rFonts w:ascii="方正黑体_GBK" w:hAnsi="方正黑体_GBK" w:eastAsia="方正黑体_GBK" w:cs="宋体"/>
                <w:b/>
                <w:bCs/>
                <w:i w:val="0"/>
                <w:caps w:val="0"/>
                <w:smallCaps w:val="0"/>
                <w:strike w:val="0"/>
                <w:dstrike w:val="0"/>
                <w:vanish w:val="0"/>
                <w:color w:val="000000"/>
                <w:sz w:val="18"/>
                <w:szCs w:val="18"/>
              </w:rPr>
              <w:t>份额：固定管理费年化0.3%</w:t>
            </w:r>
          </w:p>
          <w:p w14:paraId="79C2A88B">
            <w:pPr>
              <w:shd w:val="clear" w:color="auto" w:fill="auto"/>
              <w:spacing w:line="200" w:lineRule="exact"/>
              <w:jc w:val="left"/>
              <w:rPr>
                <w:rFonts w:hint="default"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/F3</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/F4</w:t>
            </w:r>
            <w:r>
              <w:rPr>
                <w:rFonts w:hint="default" w:ascii="方正黑体_GBK" w:hAnsi="方正黑体_GBK" w:eastAsia="方正黑体_GBK" w:cs="宋体"/>
                <w:b/>
                <w:bCs/>
                <w:i w:val="0"/>
                <w:caps w:val="0"/>
                <w:smallCaps w:val="0"/>
                <w:strike w:val="0"/>
                <w:dstrike w:val="0"/>
                <w:vanish w:val="0"/>
                <w:color w:val="000000"/>
                <w:sz w:val="18"/>
                <w:szCs w:val="18"/>
              </w:rPr>
              <w:t>份额：固定管理费年化0.3%</w:t>
            </w:r>
          </w:p>
          <w:p w14:paraId="3223C21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/G4</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hint="default" w:ascii="方正黑体_GBK" w:hAnsi="方正黑体_GBK" w:eastAsia="方正黑体_GBK" w:cs="宋体"/>
                <w:b/>
                <w:bCs/>
                <w:i w:val="0"/>
                <w:caps w:val="0"/>
                <w:smallCaps w:val="0"/>
                <w:strike w:val="0"/>
                <w:dstrike w:val="0"/>
                <w:vanish w:val="0"/>
                <w:color w:val="000000"/>
                <w:sz w:val="18"/>
                <w:szCs w:val="18"/>
              </w:rPr>
              <w:t>固定管理费年化0.3%</w:t>
            </w:r>
          </w:p>
          <w:p w14:paraId="07533C7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H3份额：</w:t>
            </w:r>
            <w:r>
              <w:rPr>
                <w:rFonts w:hint="default" w:ascii="方正黑体_GBK" w:hAnsi="方正黑体_GBK" w:eastAsia="方正黑体_GBK" w:cs="宋体"/>
                <w:b/>
                <w:bCs/>
                <w:i w:val="0"/>
                <w:caps w:val="0"/>
                <w:smallCaps w:val="0"/>
                <w:strike w:val="0"/>
                <w:dstrike w:val="0"/>
                <w:vanish w:val="0"/>
                <w:color w:val="000000"/>
                <w:sz w:val="18"/>
                <w:szCs w:val="18"/>
              </w:rPr>
              <w:t>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2</w:t>
            </w:r>
            <w:r>
              <w:rPr>
                <w:rFonts w:hint="default" w:ascii="方正黑体_GBK" w:hAnsi="方正黑体_GBK" w:eastAsia="方正黑体_GBK" w:cs="宋体"/>
                <w:b/>
                <w:bCs/>
                <w:i w:val="0"/>
                <w:caps w:val="0"/>
                <w:smallCaps w:val="0"/>
                <w:strike w:val="0"/>
                <w:dstrike w:val="0"/>
                <w:vanish w:val="0"/>
                <w:color w:val="000000"/>
                <w:sz w:val="18"/>
                <w:szCs w:val="18"/>
              </w:rPr>
              <w:t>%</w:t>
            </w:r>
          </w:p>
          <w:p w14:paraId="7DD2EEE4">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hint="default" w:ascii="方正黑体_GBK" w:hAnsi="方正黑体_GBK" w:eastAsia="方正黑体_GBK" w:cs="宋体"/>
                <w:b/>
                <w:bCs/>
                <w:i w:val="0"/>
                <w:caps w:val="0"/>
                <w:smallCaps w:val="0"/>
                <w:strike w:val="0"/>
                <w:dstrike w:val="0"/>
                <w:vanish w:val="0"/>
                <w:color w:val="000000"/>
                <w:sz w:val="18"/>
                <w:szCs w:val="18"/>
              </w:rPr>
              <w:t>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17</w:t>
            </w:r>
            <w:r>
              <w:rPr>
                <w:rFonts w:hint="default" w:ascii="方正黑体_GBK" w:hAnsi="方正黑体_GBK" w:eastAsia="方正黑体_GBK" w:cs="宋体"/>
                <w:b/>
                <w:bCs/>
                <w:i w:val="0"/>
                <w:caps w:val="0"/>
                <w:smallCaps w:val="0"/>
                <w:strike w:val="0"/>
                <w:dstrike w:val="0"/>
                <w:vanish w:val="0"/>
                <w:color w:val="000000"/>
                <w:sz w:val="18"/>
                <w:szCs w:val="18"/>
              </w:rPr>
              <w:t>%</w:t>
            </w:r>
          </w:p>
          <w:p w14:paraId="4F9A766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每日计提的固定管理费=前一日理财产品资产净值×年化固定管理费率÷365</w:t>
            </w:r>
          </w:p>
          <w:p w14:paraId="131559CE">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托管费：</w:t>
            </w:r>
          </w:p>
          <w:p w14:paraId="051A620E">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本理财产品按前一日理财产品资产净值收取年化0.02%的托管费，按日计提。</w:t>
            </w:r>
          </w:p>
          <w:p w14:paraId="5961C4A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每日计提的托管费=前一日理财产品资产净值×年化托管费率÷365</w:t>
            </w:r>
          </w:p>
          <w:p w14:paraId="663289C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业绩报酬：</w:t>
            </w:r>
          </w:p>
          <w:p w14:paraId="589BC4C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D1170E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2C04A43">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1</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1A9F2C8F">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1</w:t>
            </w:r>
            <w:r>
              <w:rPr>
                <w:rFonts w:ascii="方正黑体_GBK" w:hAnsi="方正黑体_GBK" w:eastAsia="方正黑体_GBK" w:cs="宋体"/>
                <w:b/>
                <w:bCs/>
                <w:i w:val="0"/>
                <w:caps w:val="0"/>
                <w:smallCaps w:val="0"/>
                <w:strike w:val="0"/>
                <w:dstrike w:val="0"/>
                <w:vanish w:val="0"/>
                <w:color w:val="000000"/>
                <w:sz w:val="18"/>
                <w:szCs w:val="18"/>
              </w:rPr>
              <w:t>5%（年化，即产品该份额对应的业绩报酬计提基准）时，超过部分管理人将按60%收取业绩报酬。</w:t>
            </w:r>
          </w:p>
          <w:p w14:paraId="3E3A7BA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2</w:t>
            </w:r>
            <w:r>
              <w:rPr>
                <w:rFonts w:ascii="方正黑体_GBK" w:hAnsi="方正黑体_GBK" w:eastAsia="方正黑体_GBK" w:cs="宋体"/>
                <w:b/>
                <w:bCs/>
                <w:i w:val="0"/>
                <w:caps w:val="0"/>
                <w:smallCaps w:val="0"/>
                <w:strike w:val="0"/>
                <w:dstrike w:val="0"/>
                <w:vanish w:val="0"/>
                <w:color w:val="000000"/>
                <w:sz w:val="18"/>
                <w:szCs w:val="18"/>
              </w:rPr>
              <w:t>5%（年化，即产品该份额对应的业绩报酬计提基准）时，超过部分管理人将按60%收取业绩报酬。</w:t>
            </w:r>
          </w:p>
          <w:p w14:paraId="1EEFE2AB">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w:t>
            </w:r>
            <w:r>
              <w:rPr>
                <w:rFonts w:hint="eastAsia"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w:t>
            </w:r>
            <w:r>
              <w:rPr>
                <w:rFonts w:hint="eastAsia"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/F3</w:t>
            </w:r>
            <w:r>
              <w:rPr>
                <w:rFonts w:hint="eastAsia"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/F4</w:t>
            </w:r>
            <w:r>
              <w:rPr>
                <w:rFonts w:hint="eastAsia" w:ascii="方正黑体_GBK" w:hAnsi="方正黑体_GBK" w:eastAsia="方正黑体_GBK" w:cs="宋体"/>
                <w:b/>
                <w:bCs/>
                <w:i w:val="0"/>
                <w:caps w:val="0"/>
                <w:smallCaps w:val="0"/>
                <w:strike w:val="0"/>
                <w:dstrike w:val="0"/>
                <w:vanish w:val="0"/>
                <w:color w:val="000000"/>
                <w:sz w:val="18"/>
                <w:szCs w:val="18"/>
              </w:rPr>
              <w:t>份额：</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1</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516D2B31">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/G4</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2</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4E9F011D">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H3份额:</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16C00D75">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35</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6CEBC84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526109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27799E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注：1.根据财政部《资产管理产品相关会计处理规定》（财会〔2022〕14号）“将当期发生的管理人报酬计入当期损益”的相关规定，本理财产品将每日计提暂估的业绩报酬（如有）。</w:t>
            </w:r>
          </w:p>
          <w:p w14:paraId="6DDF661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A4F254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计算本区间业绩报酬的公式如下：</w:t>
            </w:r>
          </w:p>
          <w:p w14:paraId="3FAD5BF1">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A={B-C*D*(1+E*F/365)}*G。</w:t>
            </w:r>
          </w:p>
          <w:p w14:paraId="70CFD420">
            <w:pPr>
              <w:shd w:val="clear" w:color="auto" w:fill="auto"/>
              <w:spacing w:line="200" w:lineRule="exact"/>
              <w:jc w:val="left"/>
            </w:pPr>
            <w:r>
              <w:rPr>
                <w:rFonts w:ascii="方正黑体_GBK" w:hAnsi="方正黑体_GBK" w:eastAsia="方正黑体_GBK" w:cs="宋体"/>
                <w:b/>
                <w:bCs/>
                <w:i w:val="0"/>
                <w:caps w:val="0"/>
                <w:smallCaps w:val="0"/>
                <w:strike w:val="0"/>
                <w:dstrike w:val="0"/>
                <w:vanish w:val="0"/>
                <w:color w:val="00000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E11EC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C20F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ECFC392">
            <w:pPr>
              <w:spacing w:line="200" w:lineRule="exact"/>
              <w:jc w:val="left"/>
            </w:pPr>
            <w:r>
              <w:rPr>
                <w:rFonts w:ascii="方正黑体_GBK" w:hAnsi="方正黑体_GBK" w:eastAsia="方正黑体_GBK" w:cs="宋体"/>
                <w:color w:val="000000"/>
                <w:sz w:val="18"/>
                <w:szCs w:val="18"/>
              </w:rPr>
              <w:t>具体参见本理财产品风险揭示书。</w:t>
            </w:r>
          </w:p>
          <w:p w14:paraId="7B730C3D">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0D8EC03C">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4DC887D6">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37827A9E">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785FBD4A">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765F26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6AF3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E1DCAA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58E5E3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4E212A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436693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550F5F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79C7B3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7729AE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FC83A5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8C9F9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A8E7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3DED068">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露。</w:t>
            </w:r>
          </w:p>
          <w:p w14:paraId="76746E49">
            <w:pPr>
              <w:spacing w:line="200" w:lineRule="exact"/>
              <w:jc w:val="left"/>
            </w:pPr>
            <w:r>
              <w:rPr>
                <w:rFonts w:ascii="方正黑体_GBK" w:hAnsi="方正黑体_GBK" w:eastAsia="方正黑体_GBK" w:cs="宋体"/>
                <w:sz w:val="18"/>
                <w:szCs w:val="18"/>
              </w:rPr>
              <w:t>销售机构主要职责如下：</w:t>
            </w:r>
          </w:p>
          <w:p w14:paraId="4D523F9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0BD210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5B7A7A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8903DA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217190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08C0B2A">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3CE14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606E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DC3AB88">
            <w:pPr>
              <w:spacing w:line="200" w:lineRule="exact"/>
            </w:pPr>
            <w:r>
              <w:rPr>
                <w:rFonts w:ascii="方正黑体_GBK" w:hAnsi="方正黑体_GBK" w:eastAsia="方正黑体_GBK" w:cs="宋体"/>
                <w:sz w:val="18"/>
                <w:szCs w:val="18"/>
              </w:rPr>
              <w:t>本理财产品托管人为南京银行股份有限公司，主要职责如下：</w:t>
            </w:r>
          </w:p>
          <w:p w14:paraId="4D734FAD">
            <w:pPr>
              <w:spacing w:line="200" w:lineRule="exact"/>
            </w:pPr>
            <w:r>
              <w:rPr>
                <w:rFonts w:ascii="方正黑体_GBK" w:hAnsi="方正黑体_GBK" w:eastAsia="方正黑体_GBK" w:cs="宋体"/>
                <w:sz w:val="18"/>
                <w:szCs w:val="18"/>
              </w:rPr>
              <w:t>1.安全保管理财产品财产；</w:t>
            </w:r>
          </w:p>
          <w:p w14:paraId="67016B5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B15E364">
            <w:pPr>
              <w:spacing w:line="200" w:lineRule="exact"/>
            </w:pPr>
            <w:r>
              <w:rPr>
                <w:rFonts w:ascii="方正黑体_GBK" w:hAnsi="方正黑体_GBK" w:eastAsia="方正黑体_GBK" w:cs="宋体"/>
                <w:sz w:val="18"/>
                <w:szCs w:val="18"/>
              </w:rPr>
              <w:t>3.按照托管协议约定和管理人的投资指令，及时办理清算、交割事宜；</w:t>
            </w:r>
          </w:p>
          <w:p w14:paraId="5F6CB9C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C58F56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310B1F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6943138">
            <w:pPr>
              <w:spacing w:line="200" w:lineRule="exact"/>
            </w:pPr>
            <w:r>
              <w:rPr>
                <w:rFonts w:ascii="方正黑体_GBK" w:hAnsi="方正黑体_GBK" w:eastAsia="方正黑体_GBK" w:cs="宋体"/>
                <w:sz w:val="18"/>
                <w:szCs w:val="18"/>
              </w:rPr>
              <w:t>7.理财托管业务活动的记录、账册、报表和其他相关资料保存20年以上；</w:t>
            </w:r>
          </w:p>
          <w:p w14:paraId="1176EB7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E0E46B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5781F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B39D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B7A8F37">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0B6B93B5">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5A544A0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5E93A51">
            <w:pPr>
              <w:spacing w:line="200" w:lineRule="exact"/>
            </w:pPr>
            <w:r>
              <w:rPr>
                <w:rFonts w:ascii="方正黑体_GBK" w:hAnsi="方正黑体_GBK" w:eastAsia="方正黑体_GBK" w:cs="宋体"/>
                <w:sz w:val="18"/>
                <w:szCs w:val="18"/>
              </w:rPr>
              <w:t>上述投资合作机构简介：</w:t>
            </w:r>
          </w:p>
          <w:p w14:paraId="2056221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942FF4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B058DC3">
            <w:pPr>
              <w:spacing w:line="200" w:lineRule="exact"/>
            </w:pPr>
            <w:r>
              <w:rPr>
                <w:rFonts w:ascii="方正黑体_GBK" w:hAnsi="方正黑体_GBK" w:eastAsia="方正黑体_GBK" w:cs="宋体"/>
                <w:sz w:val="18"/>
                <w:szCs w:val="18"/>
              </w:rPr>
              <w:t>广东粤财信托有限公司成立于1985年03月07日，注册资本金380000万元。</w:t>
            </w:r>
          </w:p>
          <w:p w14:paraId="529975A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1A15DE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E67DD6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04C00A4">
            <w:pPr>
              <w:spacing w:line="200" w:lineRule="exact"/>
            </w:pPr>
            <w:r>
              <w:rPr>
                <w:rFonts w:ascii="方正黑体_GBK" w:hAnsi="方正黑体_GBK" w:eastAsia="方正黑体_GBK" w:cs="宋体"/>
                <w:sz w:val="18"/>
                <w:szCs w:val="18"/>
              </w:rPr>
              <w:t>华鑫国际信托有限公司成立于1984年06月01日，注册资本金73.95亿元。</w:t>
            </w:r>
          </w:p>
          <w:p w14:paraId="7B730C87">
            <w:pPr>
              <w:spacing w:line="200" w:lineRule="exact"/>
            </w:pPr>
            <w:r>
              <w:rPr>
                <w:rFonts w:ascii="方正黑体_GBK" w:hAnsi="方正黑体_GBK" w:eastAsia="方正黑体_GBK" w:cs="宋体"/>
                <w:sz w:val="18"/>
                <w:szCs w:val="18"/>
              </w:rPr>
              <w:t>建信保险资产管理有限公司成立于2016年04月27日，注册资本金3亿元。</w:t>
            </w:r>
          </w:p>
          <w:p w14:paraId="0081289C">
            <w:pPr>
              <w:spacing w:line="200" w:lineRule="exact"/>
            </w:pPr>
            <w:r>
              <w:rPr>
                <w:rFonts w:ascii="方正黑体_GBK" w:hAnsi="方正黑体_GBK" w:eastAsia="方正黑体_GBK" w:cs="宋体"/>
                <w:sz w:val="18"/>
                <w:szCs w:val="18"/>
              </w:rPr>
              <w:t>上海国际信托有限公司成立于1981年05月06日，注册资本金50亿元。</w:t>
            </w:r>
          </w:p>
          <w:p w14:paraId="3B39B4D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2AA170D">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388859D">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4CB6660B">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7DE728C">
            <w:pPr>
              <w:spacing w:line="200" w:lineRule="exact"/>
            </w:pPr>
            <w:r>
              <w:rPr>
                <w:rFonts w:ascii="方正黑体_GBK" w:hAnsi="方正黑体_GBK" w:eastAsia="方正黑体_GBK" w:cs="宋体"/>
                <w:sz w:val="18"/>
                <w:szCs w:val="18"/>
              </w:rPr>
              <w:t>中粮信托有限责任公司成立于2009年07月27日，注册资本金28.3亿元。</w:t>
            </w:r>
          </w:p>
          <w:p w14:paraId="0CCB9F8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1726AEB">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4A51FF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CC2F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CB055C4">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6B483108">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6156BD4E">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78890698">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202DBB96">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671922B">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6A2A1F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CD93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D85B0A5">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076907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654C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1BD10601">
            <w:pPr>
              <w:spacing w:line="200" w:lineRule="exact"/>
            </w:pPr>
            <w:r>
              <w:rPr>
                <w:rFonts w:ascii="方正黑体_GBK" w:hAnsi="方正黑体_GBK" w:eastAsia="方正黑体_GBK" w:cs="宋体"/>
                <w:sz w:val="18"/>
                <w:szCs w:val="18"/>
              </w:rPr>
              <w:t>发生下列情形时，管理人可暂停接受投资者认申购申请：</w:t>
            </w:r>
          </w:p>
          <w:p w14:paraId="226974C4">
            <w:pPr>
              <w:spacing w:line="200" w:lineRule="exact"/>
            </w:pPr>
            <w:r>
              <w:rPr>
                <w:rFonts w:ascii="方正黑体_GBK" w:hAnsi="方正黑体_GBK" w:eastAsia="方正黑体_GBK" w:cs="宋体"/>
                <w:sz w:val="18"/>
                <w:szCs w:val="18"/>
              </w:rPr>
              <w:t>1.因不可抗力导致理财产品无法正常运作；</w:t>
            </w:r>
          </w:p>
          <w:p w14:paraId="53150231">
            <w:pPr>
              <w:spacing w:line="200" w:lineRule="exact"/>
            </w:pPr>
            <w:r>
              <w:rPr>
                <w:rFonts w:ascii="方正黑体_GBK" w:hAnsi="方正黑体_GBK" w:eastAsia="方正黑体_GBK" w:cs="宋体"/>
                <w:sz w:val="18"/>
                <w:szCs w:val="18"/>
              </w:rPr>
              <w:t>2.因监管政策、市场发生重大变化，导致理财产品无法正常运作；</w:t>
            </w:r>
          </w:p>
          <w:p w14:paraId="11741F6B">
            <w:pPr>
              <w:spacing w:line="200" w:lineRule="exact"/>
            </w:pPr>
            <w:r>
              <w:rPr>
                <w:rFonts w:ascii="方正黑体_GBK" w:hAnsi="方正黑体_GBK" w:eastAsia="方正黑体_GBK" w:cs="宋体"/>
                <w:sz w:val="18"/>
                <w:szCs w:val="18"/>
              </w:rPr>
              <w:t>3.管理人认为需要暂停认申购的其他情形。</w:t>
            </w:r>
          </w:p>
          <w:p w14:paraId="708C8544">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2F5D7B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6B94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08EF413A">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4962C238">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6BBA60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2017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9568B45">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09BDAAF4">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5E555952">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2AB110C6">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3C127C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FDC4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18C853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4042E9E">
      <w:pPr>
        <w:pStyle w:val="30"/>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8A792A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AB1DE5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A937631">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8FD3E4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0BECBBD">
      <w:pPr>
        <w:pStyle w:val="4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54B710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F72F4F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4234FB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EC8BDF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551CE77">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B6F896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FCE066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4B7C10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CE05B1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0FFE5E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E51117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DB07AE5">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F7FFD6B">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DB5106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BB7098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64F752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6CB9D4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E5045E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D48B31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070B2A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7B6DC8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C9A079B">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9AB012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DFED4A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1F4DD5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17A4EBC">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81E7563">
      <w:pPr>
        <w:pStyle w:val="45"/>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南银理财珠联璧合安稳1905一年定开公募人民币理财产品</w:t>
      </w:r>
      <w:r>
        <w:rPr>
          <w:rFonts w:hint="eastAsia" w:ascii="方正黑体_GBK" w:hAnsi="方正黑体_GBK" w:eastAsia="方正黑体_GBK"/>
          <w:vanish w:val="0"/>
          <w:color w:val="3D3D3D"/>
          <w:kern w:val="0"/>
          <w:sz w:val="15"/>
          <w:szCs w:val="15"/>
        </w:rPr>
        <w:t>。</w:t>
      </w:r>
    </w:p>
    <w:p w14:paraId="05B285E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18AC9F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2471F4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C0E9F5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7621AAC">
      <w:pPr>
        <w:pStyle w:val="45"/>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593F9A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9158D2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01E6C1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A32BC5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744999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F9DF34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50CFEA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C40BD8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EAA4A9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97DE98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05CCA7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BA8073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57F683B">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C3FFED4">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60C9392">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1D816B0">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DEA3F63">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F15E2FE">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A88514A">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6EE5E80">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0A8959C">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0C7E811">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15DAFCA">
      <w:pPr>
        <w:pStyle w:val="4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D22BA8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52C7623">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549EF58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情景示例一：产品实际到期日，扣除所有税费后（如有业绩报酬，已扣除）的赎回确认每份额净值为1.0300，则客户在资金到帐日收到到期款项为103,000元。</w:t>
      </w:r>
    </w:p>
    <w:p w14:paraId="2D8C2BC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情景示例二：产品实际到期日，扣除所有税费后（如有业绩报酬，已扣除）的赎回确认每份额净值为0.9700，则客户在资金到帐日收到到期款项为97,000元。</w:t>
      </w:r>
    </w:p>
    <w:p w14:paraId="52098BEE">
      <w:pPr>
        <w:spacing w:line="200" w:lineRule="exact"/>
      </w:pPr>
      <w:r>
        <w:rPr>
          <w:rFonts w:ascii="方正黑体_GBK" w:hAnsi="方正黑体_GBK" w:eastAsia="方正黑体_GBK" w:cs="宋体"/>
          <w:sz w:val="15"/>
          <w:szCs w:val="20"/>
        </w:rPr>
        <w:t xml:space="preserve"> 以上数据为假设情形中的模拟数据，不代表实际收益，投资需谨慎。</w:t>
      </w:r>
    </w:p>
    <w:p w14:paraId="51B6353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3EB2711">
      <w:pPr>
        <w:pStyle w:val="30"/>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54A8E9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D274163">
      <w:pPr>
        <w:spacing w:line="200" w:lineRule="exact"/>
        <w:ind w:firstLine="300"/>
        <w:jc w:val="both"/>
      </w:pPr>
      <w:r>
        <w:rPr>
          <w:rFonts w:ascii="方正黑体_GBK" w:hAnsi="方正黑体_GBK" w:eastAsia="方正黑体_GBK" w:cs="宋体"/>
          <w:sz w:val="15"/>
          <w:szCs w:val="20"/>
        </w:rPr>
        <w:t>（一）估值日</w:t>
      </w:r>
    </w:p>
    <w:p w14:paraId="72281713">
      <w:pPr>
        <w:spacing w:line="200" w:lineRule="exact"/>
        <w:ind w:firstLine="300"/>
        <w:jc w:val="both"/>
      </w:pPr>
      <w:r>
        <w:rPr>
          <w:rFonts w:ascii="方正黑体_GBK" w:hAnsi="方正黑体_GBK" w:eastAsia="方正黑体_GBK" w:cs="宋体"/>
          <w:sz w:val="15"/>
          <w:szCs w:val="20"/>
        </w:rPr>
        <w:t>本理财产品每个工作日进行估值。</w:t>
      </w:r>
    </w:p>
    <w:p w14:paraId="03A57107">
      <w:pPr>
        <w:spacing w:line="200" w:lineRule="exact"/>
        <w:ind w:firstLine="300"/>
        <w:jc w:val="both"/>
      </w:pPr>
      <w:r>
        <w:rPr>
          <w:rFonts w:ascii="方正黑体_GBK" w:hAnsi="方正黑体_GBK" w:eastAsia="方正黑体_GBK" w:cs="宋体"/>
          <w:sz w:val="15"/>
          <w:szCs w:val="20"/>
        </w:rPr>
        <w:t>（二）估值对象</w:t>
      </w:r>
    </w:p>
    <w:p w14:paraId="3B76CB6C">
      <w:pPr>
        <w:spacing w:line="200" w:lineRule="exact"/>
        <w:ind w:firstLine="300"/>
        <w:jc w:val="both"/>
      </w:pPr>
      <w:r>
        <w:rPr>
          <w:rFonts w:ascii="方正黑体_GBK" w:hAnsi="方正黑体_GBK" w:eastAsia="方正黑体_GBK" w:cs="宋体"/>
          <w:sz w:val="15"/>
          <w:szCs w:val="20"/>
        </w:rPr>
        <w:t>本理财产品所拥有的所有资产及负债。</w:t>
      </w:r>
    </w:p>
    <w:p w14:paraId="0866D4FD">
      <w:pPr>
        <w:spacing w:line="200" w:lineRule="exact"/>
        <w:ind w:firstLine="300"/>
        <w:jc w:val="both"/>
      </w:pPr>
      <w:r>
        <w:rPr>
          <w:rFonts w:ascii="方正黑体_GBK" w:hAnsi="方正黑体_GBK" w:eastAsia="方正黑体_GBK" w:cs="宋体"/>
          <w:sz w:val="15"/>
          <w:szCs w:val="20"/>
        </w:rPr>
        <w:t>（三）估值目的</w:t>
      </w:r>
    </w:p>
    <w:p w14:paraId="02976FCB">
      <w:pPr>
        <w:spacing w:line="200" w:lineRule="exact"/>
        <w:ind w:firstLine="300"/>
        <w:jc w:val="both"/>
      </w:pPr>
      <w:r>
        <w:rPr>
          <w:rFonts w:ascii="方正黑体_GBK" w:hAnsi="方正黑体_GBK" w:eastAsia="方正黑体_GBK" w:cs="宋体"/>
          <w:sz w:val="15"/>
          <w:szCs w:val="20"/>
        </w:rPr>
        <w:t>客观、准确反映理财产品的价值。</w:t>
      </w:r>
    </w:p>
    <w:p w14:paraId="70F61380">
      <w:pPr>
        <w:spacing w:line="200" w:lineRule="exact"/>
        <w:ind w:firstLine="300"/>
        <w:jc w:val="both"/>
      </w:pPr>
      <w:r>
        <w:rPr>
          <w:rFonts w:ascii="方正黑体_GBK" w:hAnsi="方正黑体_GBK" w:eastAsia="方正黑体_GBK" w:cs="宋体"/>
          <w:sz w:val="15"/>
          <w:szCs w:val="20"/>
        </w:rPr>
        <w:t>（四）估值原则</w:t>
      </w:r>
    </w:p>
    <w:p w14:paraId="2821C087">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76E49089">
      <w:pPr>
        <w:spacing w:line="200" w:lineRule="exact"/>
        <w:ind w:firstLine="300"/>
        <w:jc w:val="both"/>
      </w:pPr>
      <w:r>
        <w:rPr>
          <w:rFonts w:ascii="方正黑体_GBK" w:hAnsi="方正黑体_GBK" w:eastAsia="方正黑体_GBK" w:cs="宋体"/>
          <w:sz w:val="15"/>
          <w:szCs w:val="20"/>
        </w:rPr>
        <w:t>（五）估值方法</w:t>
      </w:r>
    </w:p>
    <w:p w14:paraId="2FE9462C">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4A165CDD">
      <w:pPr>
        <w:spacing w:line="200" w:lineRule="exact"/>
        <w:ind w:firstLine="280"/>
        <w:jc w:val="left"/>
      </w:pPr>
      <w:r>
        <w:rPr>
          <w:rFonts w:ascii="方正黑体_GBK" w:hAnsi="方正黑体_GBK" w:eastAsia="方正黑体_GBK" w:cs="宋体"/>
          <w:sz w:val="15"/>
          <w:szCs w:val="20"/>
        </w:rPr>
        <w:t>1.银行存款、回购等货币市场工具</w:t>
      </w:r>
    </w:p>
    <w:p w14:paraId="5CCB6A23">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07FF2DF7">
      <w:pPr>
        <w:spacing w:line="200" w:lineRule="exact"/>
        <w:ind w:firstLine="280"/>
        <w:jc w:val="left"/>
      </w:pPr>
      <w:r>
        <w:rPr>
          <w:rFonts w:ascii="方正黑体_GBK" w:hAnsi="方正黑体_GBK" w:eastAsia="方正黑体_GBK" w:cs="宋体"/>
          <w:color w:val="3D3D3D"/>
          <w:sz w:val="15"/>
          <w:szCs w:val="20"/>
        </w:rPr>
        <w:t>2.债券类资产</w:t>
      </w:r>
    </w:p>
    <w:p w14:paraId="6E0740A3">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2647E5C9">
      <w:pPr>
        <w:spacing w:line="200" w:lineRule="exact"/>
        <w:ind w:firstLine="280"/>
        <w:jc w:val="left"/>
      </w:pPr>
      <w:r>
        <w:rPr>
          <w:rFonts w:ascii="方正黑体_GBK" w:hAnsi="方正黑体_GBK" w:eastAsia="方正黑体_GBK" w:cs="宋体"/>
          <w:color w:val="3D3D3D"/>
          <w:sz w:val="15"/>
          <w:szCs w:val="20"/>
        </w:rPr>
        <w:t>3.非标准化债权类资产</w:t>
      </w:r>
    </w:p>
    <w:p w14:paraId="66EED38B">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31E44730">
      <w:pPr>
        <w:spacing w:line="200" w:lineRule="exact"/>
        <w:ind w:firstLine="280"/>
        <w:jc w:val="left"/>
      </w:pPr>
      <w:r>
        <w:rPr>
          <w:rFonts w:ascii="方正黑体_GBK" w:hAnsi="方正黑体_GBK" w:eastAsia="方正黑体_GBK" w:cs="宋体"/>
          <w:color w:val="3D3D3D"/>
          <w:sz w:val="15"/>
          <w:szCs w:val="20"/>
        </w:rPr>
        <w:t>4.证券投资基金</w:t>
      </w:r>
    </w:p>
    <w:p w14:paraId="4F328B16">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65FCB9ED">
      <w:pPr>
        <w:spacing w:line="200" w:lineRule="exact"/>
        <w:ind w:firstLine="280"/>
        <w:jc w:val="left"/>
      </w:pPr>
      <w:r>
        <w:rPr>
          <w:rFonts w:ascii="方正黑体_GBK" w:hAnsi="方正黑体_GBK" w:eastAsia="方正黑体_GBK" w:cs="宋体"/>
          <w:color w:val="3D3D3D"/>
          <w:sz w:val="15"/>
          <w:szCs w:val="20"/>
        </w:rPr>
        <w:t>5.股权类资产</w:t>
      </w:r>
    </w:p>
    <w:p w14:paraId="1B1E8842">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61118F4A">
      <w:pPr>
        <w:spacing w:line="200" w:lineRule="exact"/>
        <w:ind w:firstLine="280"/>
        <w:jc w:val="left"/>
      </w:pPr>
      <w:r>
        <w:rPr>
          <w:rFonts w:ascii="方正黑体_GBK" w:hAnsi="方正黑体_GBK" w:eastAsia="方正黑体_GBK" w:cs="宋体"/>
          <w:color w:val="3D3D3D"/>
          <w:sz w:val="15"/>
          <w:szCs w:val="20"/>
        </w:rPr>
        <w:t>6.资管计划、信托计划等资产</w:t>
      </w:r>
    </w:p>
    <w:p w14:paraId="0D55A96A">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67B3F05A">
      <w:pPr>
        <w:spacing w:line="200" w:lineRule="exact"/>
        <w:ind w:firstLine="280"/>
        <w:jc w:val="left"/>
      </w:pPr>
      <w:r>
        <w:rPr>
          <w:rFonts w:ascii="方正黑体_GBK" w:hAnsi="方正黑体_GBK" w:eastAsia="方正黑体_GBK" w:cs="宋体"/>
          <w:color w:val="3D3D3D"/>
          <w:sz w:val="15"/>
          <w:szCs w:val="20"/>
        </w:rPr>
        <w:t>7.其他资产</w:t>
      </w:r>
    </w:p>
    <w:p w14:paraId="764BB517">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059A8CEC">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2F05EB9">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49EE52F7">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27596D67">
      <w:pPr>
        <w:spacing w:line="200" w:lineRule="exact"/>
        <w:ind w:firstLine="300"/>
        <w:jc w:val="both"/>
      </w:pPr>
      <w:r>
        <w:rPr>
          <w:rFonts w:ascii="方正黑体_GBK" w:hAnsi="方正黑体_GBK" w:eastAsia="方正黑体_GBK" w:cs="宋体"/>
          <w:sz w:val="15"/>
          <w:szCs w:val="20"/>
        </w:rPr>
        <w:t>（六）估值错误及暂停估值</w:t>
      </w:r>
    </w:p>
    <w:p w14:paraId="317F6EAB">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4B41AA1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F7B2E59">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A2ADBF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5ECBA31">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7656641">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014513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313D216">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B53692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2FDC194">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01FA9D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B411262">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48F0AF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EA7F12B">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FF43FA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0C73F6A">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8DA2B6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1B10C19">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4D67C0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5DE1E59">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9D8E7A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97C7ECC">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FDDBBB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383ECC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9D72D6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61670E2">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D261DA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7E8C0F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9A8791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9D0F777">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9881B8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1F8A64E">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96120D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24736A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BC14DE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27954E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F64558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2CCC47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EFD1520">
      <w:pPr>
        <w:pStyle w:val="30"/>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DE5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F4B5D9F5"/>
    <w:multiLevelType w:val="multilevel"/>
    <w:tmpl w:val="F4B5D9F5"/>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2">
    <w:nsid w:val="2470EC97"/>
    <w:multiLevelType w:val="multilevel"/>
    <w:tmpl w:val="2470EC97"/>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4D4DC07F"/>
    <w:multiLevelType w:val="multilevel"/>
    <w:tmpl w:val="4D4DC07F"/>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B0A3E5B"/>
    <w:rsid w:val="1DA31A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516d135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af5a1788"/>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3282516b"/>
    <w:basedOn w:val="16"/>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d60c219e"/>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a3ba5b0d"/>
    <w:qFormat/>
    <w:uiPriority w:val="0"/>
  </w:style>
  <w:style w:type="paragraph" w:customStyle="1" w:styleId="21">
    <w:name w:val="toc 164dcbcd4"/>
    <w:basedOn w:val="16"/>
    <w:next w:val="1"/>
    <w:autoRedefine/>
    <w:qFormat/>
    <w:uiPriority w:val="0"/>
  </w:style>
  <w:style w:type="paragraph" w:customStyle="1" w:styleId="22">
    <w:name w:val="toc 23fff3d4b"/>
    <w:basedOn w:val="16"/>
    <w:next w:val="1"/>
    <w:autoRedefine/>
    <w:uiPriority w:val="0"/>
    <w:pPr>
      <w:ind w:left="420"/>
    </w:pPr>
  </w:style>
  <w:style w:type="paragraph" w:customStyle="1" w:styleId="23">
    <w:name w:val="toc 325488ec9"/>
    <w:basedOn w:val="16"/>
    <w:next w:val="1"/>
    <w:autoRedefine/>
    <w:qFormat/>
    <w:uiPriority w:val="0"/>
    <w:pPr>
      <w:ind w:left="840"/>
    </w:pPr>
  </w:style>
  <w:style w:type="paragraph" w:customStyle="1" w:styleId="24">
    <w:name w:val="toc 4bc2f9499"/>
    <w:basedOn w:val="16"/>
    <w:next w:val="1"/>
    <w:autoRedefine/>
    <w:qFormat/>
    <w:uiPriority w:val="0"/>
    <w:pPr>
      <w:ind w:left="1260"/>
    </w:pPr>
  </w:style>
  <w:style w:type="paragraph" w:customStyle="1" w:styleId="25">
    <w:name w:val="toc 5ff01c51c"/>
    <w:basedOn w:val="16"/>
    <w:next w:val="1"/>
    <w:autoRedefine/>
    <w:qFormat/>
    <w:uiPriority w:val="0"/>
    <w:pPr>
      <w:ind w:left="1680"/>
    </w:pPr>
  </w:style>
  <w:style w:type="paragraph" w:customStyle="1" w:styleId="26">
    <w:name w:val="header350449af"/>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700d6cb3"/>
    <w:basedOn w:val="16"/>
    <w:qFormat/>
    <w:uiPriority w:val="0"/>
    <w:pPr>
      <w:tabs>
        <w:tab w:val="center" w:pos="4153"/>
        <w:tab w:val="right" w:pos="8307"/>
      </w:tabs>
      <w:adjustRightInd/>
      <w:snapToGrid w:val="0"/>
      <w:contextualSpacing w:val="0"/>
      <w:jc w:val="left"/>
    </w:pPr>
    <w:rPr>
      <w:sz w:val="18"/>
    </w:rPr>
  </w:style>
  <w:style w:type="character" w:customStyle="1" w:styleId="28">
    <w:name w:val="Strong6f2b7758"/>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ff138ee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90c4b9f8"/>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65db6ab2"/>
    <w:basedOn w:val="30"/>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6eeffefc"/>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a06b731a"/>
    <w:qFormat/>
    <w:uiPriority w:val="0"/>
  </w:style>
  <w:style w:type="paragraph" w:customStyle="1" w:styleId="35">
    <w:name w:val="Normal Indent3556fca9"/>
    <w:basedOn w:val="30"/>
    <w:qFormat/>
    <w:uiPriority w:val="0"/>
    <w:pPr>
      <w:ind w:firstLine="200" w:firstLineChars="200"/>
    </w:pPr>
  </w:style>
  <w:style w:type="paragraph" w:customStyle="1" w:styleId="36">
    <w:name w:val="toc 54f6b6044"/>
    <w:basedOn w:val="30"/>
    <w:next w:val="1"/>
    <w:qFormat/>
    <w:uiPriority w:val="0"/>
    <w:pPr>
      <w:ind w:left="1680"/>
    </w:pPr>
  </w:style>
  <w:style w:type="paragraph" w:customStyle="1" w:styleId="37">
    <w:name w:val="toc 35f4c1fdd"/>
    <w:basedOn w:val="30"/>
    <w:next w:val="1"/>
    <w:qFormat/>
    <w:uiPriority w:val="0"/>
    <w:pPr>
      <w:ind w:left="840"/>
    </w:pPr>
  </w:style>
  <w:style w:type="paragraph" w:customStyle="1" w:styleId="38">
    <w:name w:val="footer97e07977"/>
    <w:basedOn w:val="30"/>
    <w:qFormat/>
    <w:uiPriority w:val="0"/>
    <w:pPr>
      <w:tabs>
        <w:tab w:val="center" w:pos="4153"/>
        <w:tab w:val="right" w:pos="8307"/>
      </w:tabs>
      <w:adjustRightInd/>
      <w:snapToGrid w:val="0"/>
      <w:contextualSpacing w:val="0"/>
      <w:jc w:val="left"/>
    </w:pPr>
    <w:rPr>
      <w:sz w:val="18"/>
    </w:rPr>
  </w:style>
  <w:style w:type="paragraph" w:customStyle="1" w:styleId="39">
    <w:name w:val="headerf16b99fc"/>
    <w:basedOn w:val="30"/>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381e3d1c"/>
    <w:basedOn w:val="30"/>
    <w:next w:val="1"/>
    <w:qFormat/>
    <w:uiPriority w:val="0"/>
  </w:style>
  <w:style w:type="paragraph" w:customStyle="1" w:styleId="41">
    <w:name w:val="toc 45ec1461a"/>
    <w:basedOn w:val="30"/>
    <w:next w:val="1"/>
    <w:qFormat/>
    <w:uiPriority w:val="0"/>
    <w:pPr>
      <w:ind w:left="1260"/>
    </w:pPr>
  </w:style>
  <w:style w:type="paragraph" w:customStyle="1" w:styleId="42">
    <w:name w:val="toc 2e5263dcb"/>
    <w:basedOn w:val="30"/>
    <w:next w:val="1"/>
    <w:qFormat/>
    <w:uiPriority w:val="0"/>
    <w:pPr>
      <w:ind w:left="420"/>
    </w:pPr>
  </w:style>
  <w:style w:type="paragraph" w:customStyle="1" w:styleId="43">
    <w:name w:val="Normal (Web)447843b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ab7c21eeab7c21e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d404b733d404b733"/>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7ba6f5817ba6f581"/>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5a41ec3e5a41ec3e"/>
    <w:basedOn w:val="4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3d1ae6d93d1ae6d9"/>
    <w:qFormat/>
    <w:uiPriority w:val="0"/>
  </w:style>
  <w:style w:type="paragraph" w:customStyle="1" w:styleId="50">
    <w:name w:val="引文目录107f8b6c607f8b6c6"/>
    <w:basedOn w:val="45"/>
    <w:next w:val="1"/>
    <w:qFormat/>
    <w:uiPriority w:val="0"/>
    <w:pPr>
      <w:ind w:left="200" w:leftChars="200"/>
    </w:pPr>
  </w:style>
  <w:style w:type="paragraph" w:customStyle="1" w:styleId="51">
    <w:name w:val="toc 55b8f01a25b8f01a2"/>
    <w:basedOn w:val="45"/>
    <w:next w:val="1"/>
    <w:qFormat/>
    <w:uiPriority w:val="0"/>
    <w:pPr>
      <w:ind w:left="1680"/>
    </w:pPr>
  </w:style>
  <w:style w:type="paragraph" w:customStyle="1" w:styleId="52">
    <w:name w:val="toc 3626291fe626291fe"/>
    <w:basedOn w:val="45"/>
    <w:next w:val="1"/>
    <w:qFormat/>
    <w:uiPriority w:val="0"/>
    <w:pPr>
      <w:ind w:left="840"/>
    </w:pPr>
  </w:style>
  <w:style w:type="paragraph" w:customStyle="1" w:styleId="53">
    <w:name w:val="footerfa7fab0ffa7fab0f"/>
    <w:basedOn w:val="45"/>
    <w:qFormat/>
    <w:uiPriority w:val="0"/>
    <w:pPr>
      <w:tabs>
        <w:tab w:val="center" w:pos="4153"/>
        <w:tab w:val="right" w:pos="8307"/>
      </w:tabs>
      <w:adjustRightInd/>
      <w:snapToGrid w:val="0"/>
      <w:contextualSpacing w:val="0"/>
      <w:jc w:val="left"/>
    </w:pPr>
    <w:rPr>
      <w:sz w:val="18"/>
    </w:rPr>
  </w:style>
  <w:style w:type="paragraph" w:customStyle="1" w:styleId="54">
    <w:name w:val="headere1a6792fe1a6792f"/>
    <w:basedOn w:val="4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3b0ec1af3b0ec1af"/>
    <w:basedOn w:val="45"/>
    <w:next w:val="1"/>
    <w:qFormat/>
    <w:uiPriority w:val="0"/>
  </w:style>
  <w:style w:type="paragraph" w:customStyle="1" w:styleId="56">
    <w:name w:val="toc 41ea6ffc01ea6ffc0"/>
    <w:basedOn w:val="45"/>
    <w:next w:val="1"/>
    <w:qFormat/>
    <w:uiPriority w:val="0"/>
    <w:pPr>
      <w:ind w:left="1260"/>
    </w:pPr>
  </w:style>
  <w:style w:type="paragraph" w:customStyle="1" w:styleId="57">
    <w:name w:val="toc 29a40b5149a40b514"/>
    <w:basedOn w:val="45"/>
    <w:next w:val="1"/>
    <w:qFormat/>
    <w:uiPriority w:val="0"/>
    <w:pPr>
      <w:ind w:left="420"/>
    </w:pPr>
  </w:style>
  <w:style w:type="paragraph" w:customStyle="1" w:styleId="58">
    <w:name w:val="列出段落1ee79a1aaee79a1a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20</Pages>
  <Words>42155</Words>
  <Characters>43868</Characters>
  <Lines>81</Lines>
  <Paragraphs>27</Paragraphs>
  <TotalTime>5</TotalTime>
  <ScaleCrop>false</ScaleCrop>
  <LinksUpToDate>false</LinksUpToDate>
  <CharactersWithSpaces>44034</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2025-06-16T01:30:03Z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