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58010e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58010e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58010e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58010e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58010e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58010e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58010e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58010e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58010e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58010e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58010e5e"/>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4eff96d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4eff96d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2d9a4112"/>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南银理财珠联璧合鑫逸稳三个月82期封闭式公募人民币理财产品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ZZ700322500149</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Z7003225000123(投资者可依据该编码在中国理财网www.chinawealth.com.cn查询理财产品相关信息）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A份额：Y80082</w:t>
            </w:r>
          </w:p>
          <w:p>
            <w:pPr>
              <w:pStyle w:val="null10"/>
              <w:spacing w:lineRule="exact" w:line="200"/>
            </w:pPr>
            <w:r>
              <w:rPr>
                <w:rFonts w:ascii="方正黑体_GBK" w:hAnsi="方正黑体_GBK" w:cs="宋体" w:eastAsia="方正黑体_GBK"/>
                <w:sz w:val="18"/>
                <w:szCs w:val="18"/>
              </w:rPr>
              <w:t>B份额：Y81082</w:t>
            </w:r>
          </w:p>
          <w:p>
            <w:pPr>
              <w:pStyle w:val="null10"/>
              <w:spacing w:lineRule="exact" w:line="200"/>
            </w:pPr>
            <w:r>
              <w:rPr>
                <w:rFonts w:ascii="方正黑体_GBK" w:hAnsi="方正黑体_GBK" w:cs="宋体" w:eastAsia="方正黑体_GBK"/>
                <w:sz w:val="18"/>
                <w:szCs w:val="18"/>
              </w:rPr>
              <w:t>C份额：Y82082</w:t>
            </w:r>
          </w:p>
          <w:p>
            <w:pPr>
              <w:pStyle w:val="null10"/>
              <w:spacing w:lineRule="exact" w:line="200"/>
            </w:pPr>
            <w:r>
              <w:rPr>
                <w:rFonts w:ascii="方正黑体_GBK" w:hAnsi="方正黑体_GBK" w:cs="宋体" w:eastAsia="方正黑体_GBK"/>
                <w:sz w:val="18"/>
                <w:szCs w:val="18"/>
              </w:rPr>
              <w:t>D份额：Y83082</w:t>
            </w:r>
          </w:p>
          <w:p>
            <w:pPr>
              <w:pStyle w:val="null10"/>
              <w:spacing w:lineRule="exact" w:line="200"/>
            </w:pPr>
            <w:r>
              <w:rPr>
                <w:rFonts w:ascii="方正黑体_GBK" w:hAnsi="方正黑体_GBK" w:cs="宋体" w:eastAsia="方正黑体_GBK"/>
                <w:sz w:val="18"/>
                <w:szCs w:val="18"/>
              </w:rPr>
              <w:t>E份额：Y84082</w:t>
            </w:r>
          </w:p>
          <w:p>
            <w:pPr>
              <w:pStyle w:val="null10"/>
              <w:spacing w:lineRule="exact" w:line="200"/>
            </w:pPr>
            <w:r>
              <w:rPr>
                <w:rFonts w:ascii="方正黑体_GBK" w:hAnsi="方正黑体_GBK" w:cs="宋体" w:eastAsia="方正黑体_GBK"/>
                <w:sz w:val="18"/>
                <w:szCs w:val="18"/>
              </w:rPr>
              <w:t>G份额：Y86082</w:t>
            </w:r>
          </w:p>
          <w:p>
            <w:pPr>
              <w:pStyle w:val="null10"/>
              <w:spacing w:lineRule="exact" w:line="200"/>
            </w:pPr>
            <w:r>
              <w:rPr>
                <w:rFonts w:ascii="方正黑体_GBK" w:hAnsi="方正黑体_GBK" w:cs="宋体" w:eastAsia="方正黑体_GBK"/>
                <w:sz w:val="18"/>
                <w:szCs w:val="18"/>
              </w:rPr>
              <w:t>K份额：YA80082</w:t>
            </w:r>
          </w:p>
          <w:p>
            <w:pPr>
              <w:pStyle w:val="null10"/>
              <w:spacing w:lineRule="exact" w:line="200"/>
            </w:pPr>
            <w:r>
              <w:rPr>
                <w:rFonts w:ascii="方正黑体_GBK" w:hAnsi="方正黑体_GBK" w:cs="宋体" w:eastAsia="方正黑体_GBK"/>
                <w:sz w:val="18"/>
                <w:szCs w:val="18"/>
              </w:rPr>
              <w:t>L份额：YB80082</w:t>
            </w:r>
          </w:p>
          <w:p>
            <w:pPr>
              <w:pStyle w:val="null10"/>
              <w:spacing w:lineRule="exact" w:line="200"/>
            </w:pPr>
            <w:r>
              <w:rPr>
                <w:rFonts w:ascii="方正黑体_GBK" w:hAnsi="方正黑体_GBK" w:cs="宋体" w:eastAsia="方正黑体_GBK"/>
                <w:sz w:val="18"/>
                <w:szCs w:val="18"/>
              </w:rPr>
              <w:t>M份额：YC80082</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A份额：除B、C、D、E、G、K、L、M份额以外的所有客户（详见“销售机构”条款）。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B份额：南京银行股份有限公司(新客或新资金或代发客户)、青岛银行股份有限公司、温州银行股份有限公司、汉口银行股份有限公司(20万元起购 )、烟台银行股份有限公司(工会卡 )、浙江民泰商业银行股份有限公司、河北银行股份有限公司(常规客户 )、广州银行股份有限公司、江苏常熟农村商业银行股份有限公司(专属客户)、江苏苏州农村商业银行股份有限公司( 专属客户)、苏州银行股份有限公司(特邀客户)、日照银行股份有限公司( 大众客群)、潍坊银行股份有限公司、宁波东海银行股份有限公司(社保卡专项客户 )、齐鲁银行股份有限公司(白金/私行客户)、甘肃银行股份有限公司、台州银行股份有限公司( 普通客群)、天津农村商业银行股份有限公司(零售客群)、富邦华一银行有限公司、桂林银行股份有限公司(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代发客户)、徐州农村商业银行股份有限公司(财富客群)、江苏紫金农村商业银行股份有限公司( 起购金额1元)、江苏金湖农村商业银行股份有限公司(收单客户专享)、江苏仪征农村商业银行股份有限公司（20万元起购）。</w:t>
            </w:r>
          </w:p>
          <w:p>
            <w:pPr>
              <w:pStyle w:val="null10"/>
              <w:spacing w:lineRule="exact" w:line="200"/>
            </w:pPr>
            <w:r>
              <w:rPr>
                <w:rFonts w:ascii="方正黑体_GBK" w:hAnsi="方正黑体_GBK" w:cs="宋体" w:eastAsia="方正黑体_GBK"/>
                <w:sz w:val="18"/>
                <w:szCs w:val="18"/>
              </w:rPr>
              <w:t>C份额：青岛银行股份有限公司( 私行客户)、昆山鹿城村镇银行股份有限公司、四川天府银行股份有限公司( 新客新资金)、河北银行股份有限公司(集群客户)、江苏江南农村商业银行股份有限公司(专项客群)、郑州银行股份有限公司、苏州银行股份有限公司(新资金客户)、日照银行股份有限公司( 新客专享)、台州银行股份有限公司(特邀客群)、天津农村商业银行股份有限公司(专项客群)、山西银行股份有限公司(新客专享)、兰州银行股份有限公司、桂林银行股份有限公司(特供客户)、宁波通商银行股份有限公司( 特邀客户)、江苏泰兴农村商业银行股份有限公司、江苏靖江农村商业银行股份有限公司、江苏兴化农村商业银行股份有限公司、江苏镇江农村商业银行股份有限公司(100万元起购)、江苏金湖农村商业银行股份有限公司(社保卡客户专享)、江苏如东农村商业银行股份有限公司、江苏仪征农村商业银行股份有限公司( 50万元起购)。</w:t>
            </w:r>
          </w:p>
          <w:p>
            <w:pPr>
              <w:pStyle w:val="null10"/>
              <w:spacing w:lineRule="exact" w:line="200"/>
            </w:pPr>
            <w:r>
              <w:rPr>
                <w:rFonts w:ascii="方正黑体_GBK" w:hAnsi="方正黑体_GBK" w:cs="宋体" w:eastAsia="方正黑体_GBK"/>
                <w:sz w:val="18"/>
                <w:szCs w:val="18"/>
              </w:rPr>
              <w:t>D份额：日照银行股份有限公司(行庆定制款)、天津农村商业银行股份有限公司(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G份额：兴业银行股份有限公司（普通客户）。</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L份额：天津农村商业银行股份有限公司(私行客群)。</w:t>
            </w:r>
          </w:p>
          <w:p>
            <w:pPr>
              <w:pStyle w:val="null10"/>
              <w:spacing w:lineRule="exact" w:line="200"/>
            </w:pPr>
            <w:r>
              <w:rPr>
                <w:rFonts w:ascii="方正黑体_GBK" w:hAnsi="方正黑体_GBK" w:cs="宋体" w:eastAsia="方正黑体_GBK"/>
                <w:sz w:val="18"/>
                <w:szCs w:val="18"/>
              </w:rPr>
              <w:t>M份额：兴业银行股份有限公司(新客户)。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A份额/B份额/C份额/D份额/G份额/K份额/L份额/M份额：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A份额/B份额/C份额/D份额/G份额/K份额/L份额/M份额：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机构投资者：单个投资者持有金额上限3亿；</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2025年05月09日 09:00—2025年05月13日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2025年05月14日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2025年05月14日—实际到期日（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2025年08月21日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A份额：业绩比较基准为2.25%(年化)。</w:t>
            </w:r>
          </w:p>
          <w:p>
            <w:pPr>
              <w:pStyle w:val="null10"/>
              <w:spacing w:lineRule="exact" w:line="200"/>
            </w:pPr>
            <w:r>
              <w:rPr>
                <w:rFonts w:ascii="方正黑体_GBK" w:hAnsi="方正黑体_GBK" w:cs="宋体" w:eastAsia="方正黑体_GBK"/>
                <w:sz w:val="18"/>
                <w:szCs w:val="18"/>
              </w:rPr>
              <w:t>B份额：业绩比较基准为2.35%(年化)。</w:t>
            </w:r>
          </w:p>
          <w:p>
            <w:pPr>
              <w:pStyle w:val="null10"/>
              <w:spacing w:lineRule="exact" w:line="200"/>
            </w:pPr>
            <w:r>
              <w:rPr>
                <w:rFonts w:ascii="方正黑体_GBK" w:hAnsi="方正黑体_GBK" w:cs="宋体" w:eastAsia="方正黑体_GBK"/>
                <w:sz w:val="18"/>
                <w:szCs w:val="18"/>
              </w:rPr>
              <w:t>C份额：业绩比较基准为2.45%(年化)。</w:t>
            </w:r>
          </w:p>
          <w:p>
            <w:pPr>
              <w:pStyle w:val="null10"/>
              <w:spacing w:lineRule="exact" w:line="200"/>
            </w:pPr>
            <w:r>
              <w:rPr>
                <w:rFonts w:ascii="方正黑体_GBK" w:hAnsi="方正黑体_GBK" w:cs="宋体" w:eastAsia="方正黑体_GBK"/>
                <w:sz w:val="18"/>
                <w:szCs w:val="18"/>
              </w:rPr>
              <w:t>D份额：业绩比较基准为2.5%(年化)。</w:t>
            </w:r>
          </w:p>
          <w:p>
            <w:pPr>
              <w:pStyle w:val="null10"/>
              <w:spacing w:lineRule="exact" w:line="200"/>
            </w:pPr>
            <w:r>
              <w:rPr>
                <w:rFonts w:ascii="方正黑体_GBK" w:hAnsi="方正黑体_GBK" w:cs="宋体" w:eastAsia="方正黑体_GBK"/>
                <w:sz w:val="18"/>
                <w:szCs w:val="18"/>
              </w:rPr>
              <w:t>E份额：业绩比较基准为2.4%(年化)。</w:t>
            </w:r>
          </w:p>
          <w:p>
            <w:pPr>
              <w:pStyle w:val="null10"/>
              <w:spacing w:lineRule="exact" w:line="200"/>
            </w:pPr>
            <w:r>
              <w:rPr>
                <w:rFonts w:ascii="方正黑体_GBK" w:hAnsi="方正黑体_GBK" w:cs="宋体" w:eastAsia="方正黑体_GBK"/>
                <w:sz w:val="18"/>
                <w:szCs w:val="18"/>
              </w:rPr>
              <w:t>G份额：业绩比较基准为2.35%(年化)。</w:t>
            </w:r>
          </w:p>
          <w:p>
            <w:pPr>
              <w:pStyle w:val="null10"/>
              <w:spacing w:lineRule="exact" w:line="200"/>
            </w:pPr>
            <w:r>
              <w:rPr>
                <w:rFonts w:ascii="方正黑体_GBK" w:hAnsi="方正黑体_GBK" w:cs="宋体" w:eastAsia="方正黑体_GBK"/>
                <w:sz w:val="18"/>
                <w:szCs w:val="18"/>
              </w:rPr>
              <w:t>K份额：业绩比较基准为2.5%(年化)。</w:t>
            </w:r>
          </w:p>
          <w:p>
            <w:pPr>
              <w:pStyle w:val="null10"/>
              <w:spacing w:lineRule="exact" w:line="200"/>
            </w:pPr>
            <w:r>
              <w:rPr>
                <w:rFonts w:ascii="方正黑体_GBK" w:hAnsi="方正黑体_GBK" w:cs="宋体" w:eastAsia="方正黑体_GBK"/>
                <w:sz w:val="18"/>
                <w:szCs w:val="18"/>
              </w:rPr>
              <w:t>L份额：业绩比较基准为2.5%(年化)。</w:t>
            </w:r>
          </w:p>
          <w:p>
            <w:pPr>
              <w:pStyle w:val="null10"/>
              <w:spacing w:lineRule="exact" w:line="200"/>
            </w:pPr>
            <w:r>
              <w:rPr>
                <w:rFonts w:ascii="方正黑体_GBK" w:hAnsi="方正黑体_GBK" w:cs="宋体" w:eastAsia="方正黑体_GBK"/>
                <w:sz w:val="18"/>
                <w:szCs w:val="18"/>
              </w:rPr>
              <w:t>M份额：业绩比较基准为2.4%(年化)。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M份额：销售费年化0.15%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G份额：固定管理费年化0.05%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M份额：固定管理费年化0.05%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B份额：到期兑付时，当期产品投资的实际资产组合收益（扣除销售费、固定管理费、托管费等相关费用）超过2.35%（年化，即产品该份额对应的业绩报酬计提基准）时，超过部分管理人将按60%收取业绩报酬。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C份额：到期兑付时，当期产品投资的实际资产组合收益（扣除销售费、固定管理费、托管费等相关费用）超过2.45%（年化，即产品该份额对应的业绩报酬计提基准）时，超过部分管理人将按60%收取业绩报酬。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G份额：到期兑付时，当期产品投资的实际资产组合收益（扣除销售费、固定管理费、托管费等相关费用）超过2.35%（年化，即产品该份额对应的业绩报酬计提基准）时，超过部分管理人将按60%收取业绩报酬。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汉口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北京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4eff96da"/>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2fd04a4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2fd04a4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2fd04a4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2fd04a47"/>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2fd04a4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2fd04a4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2fd04a4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2fd04a47"/>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南银理财珠联璧合鑫逸稳三个月82期封闭式公募人民币理财产品</w:t>
      </w:r>
      <w:r>
        <w:rPr>
          <w:rFonts w:ascii="方正黑体_GBK" w:eastAsia="方正黑体_GBK" w:hint="eastAsia" w:hAnsi="方正黑体_GBK"/>
          <w:vanish w:val="0"/>
          <w:color w:val="3D3D3D"/>
          <w:kern w:val="0"/>
          <w:sz w:val="15"/>
          <w:szCs w:val="15"/>
        </w:rPr>
        <w:t>。</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2fd04a47"/>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2fd04a4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2fd04a4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2fd04a4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38cba09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38cba09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38cba09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38cba09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38cba09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38cba09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2fd04a4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2fd04a4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2fd04a47"/>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4eff96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4eff96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38cba09a"/>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4eff96da"/>
        <w:keepNext w:val="0"/>
        <w:keepLines w:val="0"/>
        <w:pageBreakBefore w:val="0"/>
        <w:widowControl/>
        <w:suppressLineNumbers w:val="0"/>
        <w:suppressAutoHyphens w:val="0"/>
        <w:spacing w:line="200" w:lineRule="exact"/>
        <w:ind w:firstLineChars="200" w:firstLine="300"/>
        <w:rPr>
          <w:rStyle w:val="38cba09a"/>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4eff96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4eff96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4eff96d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4eff96d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4eff96d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4eff96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4eff96d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4eff96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4eff96d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4eff96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4eff96d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4eff96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4eff96d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4eff96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4eff96d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4eff96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4eff96d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4eff96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4eff96d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4eff96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4eff96d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4eff96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4eff96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4eff96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4eff96d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4eff96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4eff96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4eff96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4eff96d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4eff96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4eff96d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4eff96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4eff96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4eff96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4eff96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4eff96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4eff96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4eff96da"/>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2"/>
  </w:num>
  <w:num w:numId="3">
    <w:abstractNumId w:val="4"/>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58010e5e">
    <w:name w:val="Normal58010e5e"/>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29dfa9f">
    <w:name w:val="heading 1d29dfa9f"/>
    <w:basedOn w:val="58010e5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2ad6bb2">
    <w:name w:val="heading 222ad6bb2"/>
    <w:basedOn w:val="58010e5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5ab510a">
    <w:name w:val="heading 335ab510a"/>
    <w:basedOn w:val="58010e5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e866eb8">
    <w:name w:val="Default Paragraph Font0e866eb8"/>
  </w:style>
  <w:style xmlns:r="http://schemas.openxmlformats.org/officeDocument/2006/relationships" w:type="paragraph" w:styleId="10358c19">
    <w:name w:val="toc 110358c19"/>
    <w:basedOn w:val="58010e5e"/>
    <w:autoRedefine/>
    <w:next w:val="0"/>
  </w:style>
  <w:style xmlns:r="http://schemas.openxmlformats.org/officeDocument/2006/relationships" w:type="paragraph" w:styleId="0094fd43">
    <w:name w:val="toc 20094fd43"/>
    <w:basedOn w:val="58010e5e"/>
    <w:autoRedefine/>
    <w:next w:val="0"/>
    <w:pPr>
      <w:ind w:left="420"/>
    </w:pPr>
  </w:style>
  <w:style xmlns:r="http://schemas.openxmlformats.org/officeDocument/2006/relationships" w:type="paragraph" w:styleId="e3cfc50b">
    <w:name w:val="toc 3e3cfc50b"/>
    <w:basedOn w:val="58010e5e"/>
    <w:autoRedefine/>
    <w:next w:val="0"/>
    <w:pPr>
      <w:ind w:left="840"/>
    </w:pPr>
  </w:style>
  <w:style xmlns:r="http://schemas.openxmlformats.org/officeDocument/2006/relationships" w:type="paragraph" w:styleId="07c8d16e">
    <w:name w:val="toc 407c8d16e"/>
    <w:basedOn w:val="58010e5e"/>
    <w:autoRedefine/>
    <w:next w:val="0"/>
    <w:pPr>
      <w:ind w:left="1260"/>
    </w:pPr>
  </w:style>
  <w:style xmlns:r="http://schemas.openxmlformats.org/officeDocument/2006/relationships" w:type="paragraph" w:styleId="5c6ac3f0">
    <w:name w:val="toc 55c6ac3f0"/>
    <w:basedOn w:val="58010e5e"/>
    <w:autoRedefine/>
    <w:next w:val="0"/>
    <w:pPr>
      <w:ind w:left="1680"/>
    </w:pPr>
  </w:style>
  <w:style xmlns:r="http://schemas.openxmlformats.org/officeDocument/2006/relationships" w:type="paragraph" w:styleId="64801a54">
    <w:name w:val="header64801a54"/>
    <w:basedOn w:val="58010e5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32c8141">
    <w:name w:val="footer632c8141"/>
    <w:basedOn w:val="58010e5e"/>
    <w:pPr>
      <w:tabs>
        <w:tab w:val="center" w:pos="4153"/>
        <w:tab w:val="right" w:pos="8307"/>
      </w:tabs>
      <w:adjustRightInd/>
      <w:snapToGrid w:val="0"/>
      <w:contextualSpacing w:val="0"/>
      <w:jc w:val="left"/>
    </w:pPr>
    <w:rPr>
      <w:sz w:val="18"/>
    </w:rPr>
  </w:style>
  <w:style xmlns:r="http://schemas.openxmlformats.org/officeDocument/2006/relationships" w:type="character" w:styleId="8fd54791">
    <w:name w:val="Strong8fd54791"/>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eff96da">
    <w:name w:val="Normal4eff96d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516a8f97">
    <w:name w:val="heading 1516a8f97"/>
    <w:basedOn w:val="4eff96d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9cc696c">
    <w:name w:val="heading 249cc696c"/>
    <w:basedOn w:val="4eff96d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d82702e">
    <w:name w:val="heading 3dd82702e"/>
    <w:basedOn w:val="4eff96d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b8afdcc">
    <w:name w:val="Default Paragraph Font8b8afdcc"/>
  </w:style>
  <w:style xmlns:r="http://schemas.openxmlformats.org/officeDocument/2006/relationships" w:type="paragraph" w:styleId="62a9e7d1">
    <w:name w:val="Normal Indent62a9e7d1"/>
    <w:basedOn w:val="4eff96da"/>
    <w:pPr>
      <w:ind w:firstLineChars="200" w:firstLine="200"/>
    </w:pPr>
  </w:style>
  <w:style xmlns:r="http://schemas.openxmlformats.org/officeDocument/2006/relationships" w:type="paragraph" w:styleId="16398951">
    <w:name w:val="toc 516398951"/>
    <w:basedOn w:val="4eff96da"/>
    <w:next w:val="0"/>
    <w:pPr>
      <w:ind w:left="1680"/>
    </w:pPr>
  </w:style>
  <w:style xmlns:r="http://schemas.openxmlformats.org/officeDocument/2006/relationships" w:type="paragraph" w:styleId="edd5a454">
    <w:name w:val="toc 3edd5a454"/>
    <w:basedOn w:val="4eff96da"/>
    <w:next w:val="0"/>
    <w:pPr>
      <w:ind w:left="840"/>
    </w:pPr>
  </w:style>
  <w:style xmlns:r="http://schemas.openxmlformats.org/officeDocument/2006/relationships" w:type="paragraph" w:styleId="0be1c03a">
    <w:name w:val="footer0be1c03a"/>
    <w:basedOn w:val="4eff96da"/>
    <w:pPr>
      <w:tabs>
        <w:tab w:val="center" w:pos="4153"/>
        <w:tab w:val="right" w:pos="8307"/>
      </w:tabs>
      <w:adjustRightInd/>
      <w:snapToGrid w:val="0"/>
      <w:contextualSpacing w:val="0"/>
      <w:jc w:val="left"/>
    </w:pPr>
    <w:rPr>
      <w:sz w:val="18"/>
    </w:rPr>
  </w:style>
  <w:style xmlns:r="http://schemas.openxmlformats.org/officeDocument/2006/relationships" w:type="paragraph" w:styleId="f3ab441b">
    <w:name w:val="headerf3ab441b"/>
    <w:basedOn w:val="4eff96d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c312f18">
    <w:name w:val="toc 11c312f18"/>
    <w:basedOn w:val="4eff96da"/>
    <w:next w:val="0"/>
  </w:style>
  <w:style xmlns:r="http://schemas.openxmlformats.org/officeDocument/2006/relationships" w:type="paragraph" w:styleId="d5b64090">
    <w:name w:val="toc 4d5b64090"/>
    <w:basedOn w:val="4eff96da"/>
    <w:next w:val="0"/>
    <w:pPr>
      <w:ind w:left="1260"/>
    </w:pPr>
  </w:style>
  <w:style xmlns:r="http://schemas.openxmlformats.org/officeDocument/2006/relationships" w:type="paragraph" w:styleId="932b8b98">
    <w:name w:val="toc 2932b8b98"/>
    <w:basedOn w:val="4eff96da"/>
    <w:next w:val="0"/>
    <w:pPr>
      <w:ind w:left="420"/>
    </w:pPr>
  </w:style>
  <w:style xmlns:r="http://schemas.openxmlformats.org/officeDocument/2006/relationships" w:type="paragraph" w:styleId="2d9a4112">
    <w:name w:val="Normal (Web)2d9a4112"/>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2fd04a47">
    <w:name w:val="Normal2fd04a472fd04a47"/>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73e591b">
    <w:name w:val="heading 1773e591b773e591b"/>
    <w:basedOn w:val="2fd04a4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19f27fe">
    <w:name w:val="heading 2e19f27fee19f27fe"/>
    <w:basedOn w:val="2fd04a4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1003895">
    <w:name w:val="heading 35100389551003895"/>
    <w:basedOn w:val="2fd04a4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9b24499">
    <w:name w:val="Default Paragraph Font29b2449929b24499"/>
  </w:style>
  <w:style xmlns:r="http://schemas.openxmlformats.org/officeDocument/2006/relationships" w:type="paragraph" w:customStyle="1" w:styleId="23e079e8">
    <w:name w:val="引文目录123e079e823e079e8"/>
    <w:basedOn w:val="2fd04a47"/>
    <w:next w:val="0"/>
    <w:pPr>
      <w:ind w:leftChars="200" w:left="200"/>
    </w:pPr>
  </w:style>
  <w:style xmlns:r="http://schemas.openxmlformats.org/officeDocument/2006/relationships" w:type="paragraph" w:styleId="2fc384dd">
    <w:name w:val="toc 52fc384dd2fc384dd"/>
    <w:basedOn w:val="2fd04a47"/>
    <w:next w:val="0"/>
    <w:pPr>
      <w:ind w:left="1680"/>
    </w:pPr>
  </w:style>
  <w:style xmlns:r="http://schemas.openxmlformats.org/officeDocument/2006/relationships" w:type="paragraph" w:styleId="d5f12868">
    <w:name w:val="toc 3d5f12868d5f12868"/>
    <w:basedOn w:val="2fd04a47"/>
    <w:next w:val="0"/>
    <w:pPr>
      <w:ind w:left="840"/>
    </w:pPr>
  </w:style>
  <w:style xmlns:r="http://schemas.openxmlformats.org/officeDocument/2006/relationships" w:type="paragraph" w:styleId="2fa99e0b">
    <w:name w:val="footer2fa99e0b2fa99e0b"/>
    <w:basedOn w:val="2fd04a47"/>
    <w:pPr>
      <w:tabs>
        <w:tab w:val="center" w:pos="4153"/>
        <w:tab w:val="right" w:pos="8307"/>
      </w:tabs>
      <w:adjustRightInd/>
      <w:snapToGrid w:val="0"/>
      <w:contextualSpacing w:val="0"/>
      <w:jc w:val="left"/>
    </w:pPr>
    <w:rPr>
      <w:sz w:val="18"/>
    </w:rPr>
  </w:style>
  <w:style xmlns:r="http://schemas.openxmlformats.org/officeDocument/2006/relationships" w:type="paragraph" w:styleId="1ddc1f18">
    <w:name w:val="header1ddc1f181ddc1f18"/>
    <w:basedOn w:val="2fd04a4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b68ad1f">
    <w:name w:val="toc 15b68ad1f5b68ad1f"/>
    <w:basedOn w:val="2fd04a47"/>
    <w:next w:val="0"/>
  </w:style>
  <w:style xmlns:r="http://schemas.openxmlformats.org/officeDocument/2006/relationships" w:type="paragraph" w:styleId="2eb09e9b">
    <w:name w:val="toc 42eb09e9b2eb09e9b"/>
    <w:basedOn w:val="2fd04a47"/>
    <w:next w:val="0"/>
    <w:pPr>
      <w:ind w:left="1260"/>
    </w:pPr>
  </w:style>
  <w:style xmlns:r="http://schemas.openxmlformats.org/officeDocument/2006/relationships" w:type="paragraph" w:styleId="c4bfd0b4">
    <w:name w:val="toc 2c4bfd0b4c4bfd0b4"/>
    <w:basedOn w:val="2fd04a47"/>
    <w:next w:val="0"/>
    <w:pPr>
      <w:ind w:left="420"/>
    </w:pPr>
  </w:style>
  <w:style xmlns:r="http://schemas.openxmlformats.org/officeDocument/2006/relationships" w:type="paragraph" w:customStyle="1" w:styleId="38cba09a">
    <w:name w:val="列出段落138cba09a38cba09a"/>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