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b566f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b566fe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e13931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e13931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3bbf0b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南银理财珠联璧合鑫逸稳一年221期封闭式公募人民币理财产品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ZZ700322500151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Z7003225000124(投资者可依据该编码在中国理财网www.chinawealth.com.cn查询理财产品相关信息）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A份额：Y30221</w:t>
            </w:r>
          </w:p>
          <w:p>
            <w:pPr>
              <w:pStyle w:val="null10"/>
              <w:spacing w:lineRule="exact" w:line="200"/>
            </w:pPr>
            <w:r>
              <w:rPr>
                <w:rFonts w:ascii="方正黑体_GBK" w:hAnsi="方正黑体_GBK" w:cs="宋体" w:eastAsia="方正黑体_GBK"/>
                <w:sz w:val="18"/>
                <w:szCs w:val="18"/>
              </w:rPr>
              <w:t>B份额：Y31221</w:t>
            </w:r>
          </w:p>
          <w:p>
            <w:pPr>
              <w:pStyle w:val="null10"/>
              <w:spacing w:lineRule="exact" w:line="200"/>
            </w:pPr>
            <w:r>
              <w:rPr>
                <w:rFonts w:ascii="方正黑体_GBK" w:hAnsi="方正黑体_GBK" w:cs="宋体" w:eastAsia="方正黑体_GBK"/>
                <w:sz w:val="18"/>
                <w:szCs w:val="18"/>
              </w:rPr>
              <w:t>C份额：Y32221</w:t>
            </w:r>
          </w:p>
          <w:p>
            <w:pPr>
              <w:pStyle w:val="null10"/>
              <w:spacing w:lineRule="exact" w:line="200"/>
            </w:pPr>
            <w:r>
              <w:rPr>
                <w:rFonts w:ascii="方正黑体_GBK" w:hAnsi="方正黑体_GBK" w:cs="宋体" w:eastAsia="方正黑体_GBK"/>
                <w:sz w:val="18"/>
                <w:szCs w:val="18"/>
              </w:rPr>
              <w:t>D份额：Y33221</w:t>
            </w:r>
          </w:p>
          <w:p>
            <w:pPr>
              <w:pStyle w:val="null10"/>
              <w:spacing w:lineRule="exact" w:line="200"/>
            </w:pPr>
            <w:r>
              <w:rPr>
                <w:rFonts w:ascii="方正黑体_GBK" w:hAnsi="方正黑体_GBK" w:cs="宋体" w:eastAsia="方正黑体_GBK"/>
                <w:sz w:val="18"/>
                <w:szCs w:val="18"/>
              </w:rPr>
              <w:t>F份额：Y35221</w:t>
            </w:r>
          </w:p>
          <w:p>
            <w:pPr>
              <w:pStyle w:val="null10"/>
              <w:spacing w:lineRule="exact" w:line="200"/>
            </w:pPr>
            <w:r>
              <w:rPr>
                <w:rFonts w:ascii="方正黑体_GBK" w:hAnsi="方正黑体_GBK" w:cs="宋体" w:eastAsia="方正黑体_GBK"/>
                <w:sz w:val="18"/>
                <w:szCs w:val="18"/>
              </w:rPr>
              <w:t>G份额：Y36221</w:t>
            </w:r>
          </w:p>
          <w:p>
            <w:pPr>
              <w:pStyle w:val="null10"/>
              <w:spacing w:lineRule="exact" w:line="200"/>
            </w:pPr>
            <w:r>
              <w:rPr>
                <w:rFonts w:ascii="方正黑体_GBK" w:hAnsi="方正黑体_GBK" w:cs="宋体" w:eastAsia="方正黑体_GBK"/>
                <w:sz w:val="18"/>
                <w:szCs w:val="18"/>
              </w:rPr>
              <w:t>L份额：YB30221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滨海分行专属)、廊坊银行股份有限公司、东营银行股份有限公司、宁波通商银行股份有限公司(全量客户)、江苏南通农村商业银行股份有限公司( 代发客户)、江苏镇江农村商业银行股份有限公司( 20万元起购)、江苏如皋农村商业银行股份有限公司( 代发客户)、徐州农村商业银行股份有限公司(财富客群 )、江苏紫金农村商业银行股份有限公司(起购金额1元)、江苏仪征农村商业银行股份有限公司( 20万元起购)、枣庄银行股份有限公司。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私行客户)、汉口银行股份有限公司、郑州银行股份有限公司、苏州银行股份有限公司( 公司客户)、日照银行股份有限公司(行庆定制款)、天津农村商业银行股份有限公司( 军人客户)、兰州银行股份有限公司、宁波通商银行股份有限公司(价值客户和新客专属)、江苏泰兴农村商业银行股份有限公司、江苏靖江农村商业银行股份有限公司、江苏盐城农村商业银行股份有限公司、江苏南通农村商业银行股份有限公司( 机构客户)、江苏兴化农村商业银行股份有限公司、江苏镇江农村商业银行股份有限公司( 100万元起购)、江苏如东农村商业银行股份有限公司。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2025年05月09日 09:00—2025年05月13日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2025年05月14日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2025年05月14日—实际到期日（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2026年06月17日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A份额：业绩比较基准为年化2.5%-3% 。</w:t>
            </w:r>
          </w:p>
          <w:p>
            <w:pPr>
              <w:pStyle w:val="null10"/>
              <w:spacing w:lineRule="exact" w:line="200"/>
            </w:pPr>
            <w:r>
              <w:rPr>
                <w:rFonts w:ascii="方正黑体_GBK" w:hAnsi="方正黑体_GBK" w:cs="宋体" w:eastAsia="方正黑体_GBK"/>
                <w:sz w:val="18"/>
                <w:szCs w:val="18"/>
              </w:rPr>
              <w:t>B份额：业绩比较基准为年化2.6%-3.1% 。</w:t>
            </w:r>
          </w:p>
          <w:p>
            <w:pPr>
              <w:pStyle w:val="null10"/>
              <w:spacing w:lineRule="exact" w:line="200"/>
            </w:pPr>
            <w:r>
              <w:rPr>
                <w:rFonts w:ascii="方正黑体_GBK" w:hAnsi="方正黑体_GBK" w:cs="宋体" w:eastAsia="方正黑体_GBK"/>
                <w:sz w:val="18"/>
                <w:szCs w:val="18"/>
              </w:rPr>
              <w:t>C份额：业绩比较基准为年化2.7%-3.2% 。</w:t>
            </w:r>
          </w:p>
          <w:p>
            <w:pPr>
              <w:pStyle w:val="null10"/>
              <w:spacing w:lineRule="exact" w:line="200"/>
            </w:pPr>
            <w:r>
              <w:rPr>
                <w:rFonts w:ascii="方正黑体_GBK" w:hAnsi="方正黑体_GBK" w:cs="宋体" w:eastAsia="方正黑体_GBK"/>
                <w:sz w:val="18"/>
                <w:szCs w:val="18"/>
              </w:rPr>
              <w:t>D份额：业绩比较基准为年化2.8%-3.3% 。</w:t>
            </w:r>
          </w:p>
          <w:p>
            <w:pPr>
              <w:pStyle w:val="null10"/>
              <w:spacing w:lineRule="exact" w:line="200"/>
            </w:pPr>
            <w:r>
              <w:rPr>
                <w:rFonts w:ascii="方正黑体_GBK" w:hAnsi="方正黑体_GBK" w:cs="宋体" w:eastAsia="方正黑体_GBK"/>
                <w:sz w:val="18"/>
                <w:szCs w:val="18"/>
              </w:rPr>
              <w:t>F份额：业绩比较基准为年化2.55%-3.05% 。</w:t>
            </w:r>
          </w:p>
          <w:p>
            <w:pPr>
              <w:pStyle w:val="null10"/>
              <w:spacing w:lineRule="exact" w:line="200"/>
            </w:pPr>
            <w:r>
              <w:rPr>
                <w:rFonts w:ascii="方正黑体_GBK" w:hAnsi="方正黑体_GBK" w:cs="宋体" w:eastAsia="方正黑体_GBK"/>
                <w:sz w:val="18"/>
                <w:szCs w:val="18"/>
              </w:rPr>
              <w:t>G份额：业绩比较基准为年化2.6%-3.1% 。</w:t>
            </w:r>
          </w:p>
          <w:p>
            <w:pPr>
              <w:pStyle w:val="null10"/>
              <w:spacing w:lineRule="exact" w:line="200"/>
            </w:pPr>
            <w:r>
              <w:rPr>
                <w:rFonts w:ascii="方正黑体_GBK" w:hAnsi="方正黑体_GBK" w:cs="宋体" w:eastAsia="方正黑体_GBK"/>
                <w:sz w:val="18"/>
                <w:szCs w:val="18"/>
              </w:rPr>
              <w:t>L份额：业绩比较基准为年化2.75%-3.25%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G份额：固定管理费年化0.2%</w:t>
            </w:r>
          </w:p>
          <w:p>
            <w:pPr>
              <w:pStyle w:val="null10"/>
              <w:spacing w:lineRule="exact" w:line="200"/>
            </w:pPr>
            <w:r>
              <w:rPr>
                <w:rFonts w:ascii="方正黑体_GBK" w:hAnsi="方正黑体_GBK" w:cs="宋体" w:eastAsia="方正黑体_GBK"/>
                <w:sz w:val="18"/>
                <w:b/>
                <w:szCs w:val="18"/>
              </w:rPr>
              <w:t>L份额：固定管理费年化0.2%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e13931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3149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31497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31497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314972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31497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31497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31497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314972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南银理财珠联璧合鑫逸稳一年221期封闭式公募人民币理财产品</w:t>
      </w:r>
      <w:r>
        <w:rPr>
          <w:rFonts w:ascii="方正黑体_GBK" w:eastAsia="方正黑体_GBK" w:hint="eastAsia" w:hAnsi="方正黑体_GBK"/>
          <w:vanish w:val="0"/>
          <w:color w:val="3D3D3D"/>
          <w:kern w:val="0"/>
          <w:sz w:val="15"/>
          <w:szCs w:val="15"/>
        </w:rPr>
        <w:t>。</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314972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31497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31497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314972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1e16a2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1e16a2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1e16a2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1e16a2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1e16a2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1e16a2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314972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314972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314972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1e16a2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e139316"/>
        <w:keepNext w:val="0"/>
        <w:keepLines w:val="0"/>
        <w:pageBreakBefore w:val="0"/>
        <w:widowControl/>
        <w:suppressLineNumbers w:val="0"/>
        <w:suppressAutoHyphens w:val="0"/>
        <w:spacing w:line="200" w:lineRule="exact"/>
        <w:ind w:firstLineChars="200" w:firstLine="300"/>
        <w:rPr>
          <w:rStyle w:val="41e16a2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e13931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e13931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e13931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e13931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e13931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e13931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e1393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e13931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b566fe3">
    <w:name w:val="Normal8b566fe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def1287">
    <w:name w:val="heading 1bdef1287"/>
    <w:basedOn w:val="8b566fe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afb2e29">
    <w:name w:val="heading 2dafb2e29"/>
    <w:basedOn w:val="8b566fe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bf4432d">
    <w:name w:val="heading 36bf4432d"/>
    <w:basedOn w:val="8b566fe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439d835">
    <w:name w:val="Default Paragraph Fonta439d835"/>
  </w:style>
  <w:style xmlns:r="http://schemas.openxmlformats.org/officeDocument/2006/relationships" w:type="paragraph" w:styleId="9cd9e644">
    <w:name w:val="toc 19cd9e644"/>
    <w:basedOn w:val="8b566fe3"/>
    <w:autoRedefine/>
    <w:next w:val="0"/>
  </w:style>
  <w:style xmlns:r="http://schemas.openxmlformats.org/officeDocument/2006/relationships" w:type="paragraph" w:styleId="513d13a8">
    <w:name w:val="toc 2513d13a8"/>
    <w:basedOn w:val="8b566fe3"/>
    <w:autoRedefine/>
    <w:next w:val="0"/>
    <w:pPr>
      <w:ind w:left="420"/>
    </w:pPr>
  </w:style>
  <w:style xmlns:r="http://schemas.openxmlformats.org/officeDocument/2006/relationships" w:type="paragraph" w:styleId="96bff845">
    <w:name w:val="toc 396bff845"/>
    <w:basedOn w:val="8b566fe3"/>
    <w:autoRedefine/>
    <w:next w:val="0"/>
    <w:pPr>
      <w:ind w:left="840"/>
    </w:pPr>
  </w:style>
  <w:style xmlns:r="http://schemas.openxmlformats.org/officeDocument/2006/relationships" w:type="paragraph" w:styleId="60f66e04">
    <w:name w:val="toc 460f66e04"/>
    <w:basedOn w:val="8b566fe3"/>
    <w:autoRedefine/>
    <w:next w:val="0"/>
    <w:pPr>
      <w:ind w:left="1260"/>
    </w:pPr>
  </w:style>
  <w:style xmlns:r="http://schemas.openxmlformats.org/officeDocument/2006/relationships" w:type="paragraph" w:styleId="58910a5e">
    <w:name w:val="toc 558910a5e"/>
    <w:basedOn w:val="8b566fe3"/>
    <w:autoRedefine/>
    <w:next w:val="0"/>
    <w:pPr>
      <w:ind w:left="1680"/>
    </w:pPr>
  </w:style>
  <w:style xmlns:r="http://schemas.openxmlformats.org/officeDocument/2006/relationships" w:type="paragraph" w:styleId="3bcb507d">
    <w:name w:val="header3bcb507d"/>
    <w:basedOn w:val="8b566fe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44006e4">
    <w:name w:val="footerb44006e4"/>
    <w:basedOn w:val="8b566fe3"/>
    <w:pPr>
      <w:tabs>
        <w:tab w:val="center" w:pos="4153"/>
        <w:tab w:val="right" w:pos="8307"/>
      </w:tabs>
      <w:adjustRightInd/>
      <w:snapToGrid w:val="0"/>
      <w:contextualSpacing w:val="0"/>
      <w:jc w:val="left"/>
    </w:pPr>
    <w:rPr>
      <w:sz w:val="18"/>
    </w:rPr>
  </w:style>
  <w:style xmlns:r="http://schemas.openxmlformats.org/officeDocument/2006/relationships" w:type="character" w:styleId="29e16b13">
    <w:name w:val="Strong29e16b1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e139316">
    <w:name w:val="Normal3e13931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d9b7495">
    <w:name w:val="heading 16d9b7495"/>
    <w:basedOn w:val="3e13931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a3c4ffe">
    <w:name w:val="heading 26a3c4ffe"/>
    <w:basedOn w:val="3e13931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b593ab6">
    <w:name w:val="heading 3db593ab6"/>
    <w:basedOn w:val="3e13931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4d7ada0">
    <w:name w:val="Default Paragraph Font94d7ada0"/>
  </w:style>
  <w:style xmlns:r="http://schemas.openxmlformats.org/officeDocument/2006/relationships" w:type="paragraph" w:styleId="1e4b25ed">
    <w:name w:val="Normal Indent1e4b25ed"/>
    <w:basedOn w:val="3e139316"/>
    <w:pPr>
      <w:ind w:firstLineChars="200" w:firstLine="200"/>
    </w:pPr>
  </w:style>
  <w:style xmlns:r="http://schemas.openxmlformats.org/officeDocument/2006/relationships" w:type="paragraph" w:styleId="057d2b62">
    <w:name w:val="toc 5057d2b62"/>
    <w:basedOn w:val="3e139316"/>
    <w:next w:val="0"/>
    <w:pPr>
      <w:ind w:left="1680"/>
    </w:pPr>
  </w:style>
  <w:style xmlns:r="http://schemas.openxmlformats.org/officeDocument/2006/relationships" w:type="paragraph" w:styleId="300a1efa">
    <w:name w:val="toc 3300a1efa"/>
    <w:basedOn w:val="3e139316"/>
    <w:next w:val="0"/>
    <w:pPr>
      <w:ind w:left="840"/>
    </w:pPr>
  </w:style>
  <w:style xmlns:r="http://schemas.openxmlformats.org/officeDocument/2006/relationships" w:type="paragraph" w:styleId="c453d864">
    <w:name w:val="footerc453d864"/>
    <w:basedOn w:val="3e139316"/>
    <w:pPr>
      <w:tabs>
        <w:tab w:val="center" w:pos="4153"/>
        <w:tab w:val="right" w:pos="8307"/>
      </w:tabs>
      <w:adjustRightInd/>
      <w:snapToGrid w:val="0"/>
      <w:contextualSpacing w:val="0"/>
      <w:jc w:val="left"/>
    </w:pPr>
    <w:rPr>
      <w:sz w:val="18"/>
    </w:rPr>
  </w:style>
  <w:style xmlns:r="http://schemas.openxmlformats.org/officeDocument/2006/relationships" w:type="paragraph" w:styleId="a977c755">
    <w:name w:val="headera977c755"/>
    <w:basedOn w:val="3e13931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7236ed3">
    <w:name w:val="toc 107236ed3"/>
    <w:basedOn w:val="3e139316"/>
    <w:next w:val="0"/>
  </w:style>
  <w:style xmlns:r="http://schemas.openxmlformats.org/officeDocument/2006/relationships" w:type="paragraph" w:styleId="a4f8e0e2">
    <w:name w:val="toc 4a4f8e0e2"/>
    <w:basedOn w:val="3e139316"/>
    <w:next w:val="0"/>
    <w:pPr>
      <w:ind w:left="1260"/>
    </w:pPr>
  </w:style>
  <w:style xmlns:r="http://schemas.openxmlformats.org/officeDocument/2006/relationships" w:type="paragraph" w:styleId="69eeea46">
    <w:name w:val="toc 269eeea46"/>
    <w:basedOn w:val="3e139316"/>
    <w:next w:val="0"/>
    <w:pPr>
      <w:ind w:left="420"/>
    </w:pPr>
  </w:style>
  <w:style xmlns:r="http://schemas.openxmlformats.org/officeDocument/2006/relationships" w:type="paragraph" w:styleId="83bbf0bd">
    <w:name w:val="Normal (Web)83bbf0b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3149721">
    <w:name w:val="Normal431497214314972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f5bfae4">
    <w:name w:val="heading 15f5bfae45f5bfae4"/>
    <w:basedOn w:val="4314972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4242004">
    <w:name w:val="heading 2c4242004c4242004"/>
    <w:basedOn w:val="4314972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c080f6c">
    <w:name w:val="heading 3bc080f6cbc080f6c"/>
    <w:basedOn w:val="4314972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f27ba12">
    <w:name w:val="Default Paragraph Font7f27ba127f27ba12"/>
  </w:style>
  <w:style xmlns:r="http://schemas.openxmlformats.org/officeDocument/2006/relationships" w:type="paragraph" w:customStyle="1" w:styleId="7f8e6c65">
    <w:name w:val="引文目录17f8e6c657f8e6c65"/>
    <w:basedOn w:val="43149721"/>
    <w:next w:val="0"/>
    <w:pPr>
      <w:ind w:leftChars="200" w:left="200"/>
    </w:pPr>
  </w:style>
  <w:style xmlns:r="http://schemas.openxmlformats.org/officeDocument/2006/relationships" w:type="paragraph" w:styleId="18a5761c">
    <w:name w:val="toc 518a5761c18a5761c"/>
    <w:basedOn w:val="43149721"/>
    <w:next w:val="0"/>
    <w:pPr>
      <w:ind w:left="1680"/>
    </w:pPr>
  </w:style>
  <w:style xmlns:r="http://schemas.openxmlformats.org/officeDocument/2006/relationships" w:type="paragraph" w:styleId="d953f950">
    <w:name w:val="toc 3d953f950d953f950"/>
    <w:basedOn w:val="43149721"/>
    <w:next w:val="0"/>
    <w:pPr>
      <w:ind w:left="840"/>
    </w:pPr>
  </w:style>
  <w:style xmlns:r="http://schemas.openxmlformats.org/officeDocument/2006/relationships" w:type="paragraph" w:styleId="1dfd8f22">
    <w:name w:val="footer1dfd8f221dfd8f22"/>
    <w:basedOn w:val="43149721"/>
    <w:pPr>
      <w:tabs>
        <w:tab w:val="center" w:pos="4153"/>
        <w:tab w:val="right" w:pos="8307"/>
      </w:tabs>
      <w:adjustRightInd/>
      <w:snapToGrid w:val="0"/>
      <w:contextualSpacing w:val="0"/>
      <w:jc w:val="left"/>
    </w:pPr>
    <w:rPr>
      <w:sz w:val="18"/>
    </w:rPr>
  </w:style>
  <w:style xmlns:r="http://schemas.openxmlformats.org/officeDocument/2006/relationships" w:type="paragraph" w:styleId="2606fd49">
    <w:name w:val="header2606fd492606fd49"/>
    <w:basedOn w:val="4314972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ffc83d7">
    <w:name w:val="toc 11ffc83d71ffc83d7"/>
    <w:basedOn w:val="43149721"/>
    <w:next w:val="0"/>
  </w:style>
  <w:style xmlns:r="http://schemas.openxmlformats.org/officeDocument/2006/relationships" w:type="paragraph" w:styleId="8894a0a7">
    <w:name w:val="toc 48894a0a78894a0a7"/>
    <w:basedOn w:val="43149721"/>
    <w:next w:val="0"/>
    <w:pPr>
      <w:ind w:left="1260"/>
    </w:pPr>
  </w:style>
  <w:style xmlns:r="http://schemas.openxmlformats.org/officeDocument/2006/relationships" w:type="paragraph" w:styleId="5f6fadf4">
    <w:name w:val="toc 25f6fadf45f6fadf4"/>
    <w:basedOn w:val="43149721"/>
    <w:next w:val="0"/>
    <w:pPr>
      <w:ind w:left="420"/>
    </w:pPr>
  </w:style>
  <w:style xmlns:r="http://schemas.openxmlformats.org/officeDocument/2006/relationships" w:type="paragraph" w:customStyle="1" w:styleId="41e16a2c">
    <w:name w:val="列出段落141e16a2c41e16a2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