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196天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3daa1de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3daa1de6"/>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b7a2beb4"/>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b7a2beb4"/>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8935f2e5"/>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南银理财珠联璧合鑫逸稳半年101期封闭式公募人民币理财产品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ZZ700322400496</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Z7003224000232(投资者可依据该编码在中国理财网www.chinawealth.com.cn查询理财产品相关信息）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A份额：Y70101</w:t>
            </w:r>
          </w:p>
          <w:p>
            <w:pPr>
              <w:pStyle w:val="null10"/>
              <w:spacing w:lineRule="exact" w:line="200"/>
            </w:pPr>
            <w:r>
              <w:rPr>
                <w:rFonts w:ascii="方正黑体_GBK" w:hAnsi="方正黑体_GBK" w:cs="宋体" w:eastAsia="方正黑体_GBK"/>
                <w:sz w:val="18"/>
                <w:szCs w:val="18"/>
              </w:rPr>
              <w:t>B份额：Y71101</w:t>
            </w:r>
          </w:p>
          <w:p>
            <w:pPr>
              <w:pStyle w:val="null10"/>
              <w:spacing w:lineRule="exact" w:line="200"/>
            </w:pPr>
            <w:r>
              <w:rPr>
                <w:rFonts w:ascii="方正黑体_GBK" w:hAnsi="方正黑体_GBK" w:cs="宋体" w:eastAsia="方正黑体_GBK"/>
                <w:sz w:val="18"/>
                <w:szCs w:val="18"/>
              </w:rPr>
              <w:t>C份额：Y72101</w:t>
            </w:r>
          </w:p>
          <w:p>
            <w:pPr>
              <w:pStyle w:val="null10"/>
              <w:spacing w:lineRule="exact" w:line="200"/>
            </w:pPr>
            <w:r>
              <w:rPr>
                <w:rFonts w:ascii="方正黑体_GBK" w:hAnsi="方正黑体_GBK" w:cs="宋体" w:eastAsia="方正黑体_GBK"/>
                <w:sz w:val="18"/>
                <w:szCs w:val="18"/>
              </w:rPr>
              <w:t>D份额：Y73101</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徽商银行股份有限公司、杭州银行股份有限公司（大众客群）、温州银行股份有限公司、江苏苏州农村商业银行股份有限公司（社保对公专项客户）、齐鲁银行股份有限公司（政务服务中心支行开业专享）、天津农村商业银行股份有限公司（滨海分行专属）、乌鲁木齐银行股份有限公司、宁波通商银行股份有限公司（零售客群）、兴业银行股份有限公司、江苏如皋农村商业银行股份有限公司（代发客户）、徐州农村商业银行股份有限公司（代发客户或高净值客户）。</w:t>
            </w:r>
          </w:p>
          <w:p>
            <w:pPr>
              <w:pStyle w:val="null10"/>
              <w:spacing w:lineRule="exact" w:line="200"/>
            </w:pPr>
            <w:r>
              <w:rPr>
                <w:rFonts w:ascii="方正黑体_GBK" w:hAnsi="方正黑体_GBK" w:cs="宋体" w:eastAsia="方正黑体_GBK"/>
                <w:sz w:val="18"/>
                <w:szCs w:val="18"/>
              </w:rPr>
              <w:t>C份额：杭州银行股份有限公司（私行客群）、日照银行股份有限公司、天津农村商业银行股份有限公司（军人客户）、兰州银行股份有限公司、甘肃银行股份有限公司、宁波通商银行股份有限公司（专项客群）、江苏泰兴农村商业银行股份有限公司、江苏兴化农村商业银行股份有限公司、江苏紫金农村商业银行股份有限公司（起点金额30万元以上）、江苏如东农村商业银行股份有限公司。</w:t>
            </w:r>
          </w:p>
          <w:p>
            <w:pPr>
              <w:pStyle w:val="null10"/>
              <w:spacing w:lineRule="exact" w:line="200"/>
            </w:pPr>
            <w:r>
              <w:rPr>
                <w:rFonts w:ascii="方正黑体_GBK" w:hAnsi="方正黑体_GBK" w:cs="宋体" w:eastAsia="方正黑体_GBK"/>
                <w:sz w:val="18"/>
                <w:szCs w:val="18"/>
              </w:rPr>
              <w:t>D份额：宁波通商银行股份有限公司（对公客群）。</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南京银行新客或新资金或代发客户：</w:t>
            </w:r>
            <w:r>
              <w:rPr>
                <w:rFonts w:ascii="方正黑体_GBK" w:hAnsi="方正黑体_GBK" w:cs="宋体" w:eastAsia="方正黑体_GBK"/>
                <w:sz w:val="18"/>
                <w:szCs w:val="18"/>
              </w:rPr>
              <w:t>新客是指2024年理财年日均余额为0的客户。新资金（5万）是指金融资产余额较上月月日均增长5万元及以上的客户。代发是指近90天内有过代发记录的客户（不含跨行代发、批量兑付、批量付息）。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2024年11月27日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2024年11月27日—实际到期日（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196天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2025年06月11日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4、同业借款：资产类型为南银理财有限责任公司向持牌金融机构发放的同业借款，期限不超过1年，融资人为江苏金融租赁股份有限公司。</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产品管理人将优先选择上述备选非标准化债权类资产中的一笔或者多笔作为本理财产品投资的非标准化债权类资产，并在本理财产品的定期报告中进行信息披露。</w:t>
            </w:r>
          </w:p>
          <w:p>
            <w:pPr>
              <w:pStyle w:val="null10"/>
              <w:spacing w:lineRule="exact" w:line="200"/>
            </w:pPr>
            <w:r>
              <w:rPr>
                <w:rFonts w:ascii="方正黑体_GBK" w:hAnsi="方正黑体_GBK" w:cs="宋体" w:eastAsia="方正黑体_GBK"/>
                <w:sz w:val="18"/>
                <w:b/>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A份额：业绩比较基准为2.5%(年化)。</w:t>
            </w:r>
          </w:p>
          <w:p>
            <w:pPr>
              <w:pStyle w:val="null10"/>
              <w:spacing w:lineRule="exact" w:line="200"/>
            </w:pPr>
            <w:r>
              <w:rPr>
                <w:rFonts w:ascii="方正黑体_GBK" w:hAnsi="方正黑体_GBK" w:cs="宋体" w:eastAsia="方正黑体_GBK"/>
                <w:sz w:val="18"/>
                <w:szCs w:val="18"/>
              </w:rPr>
              <w:t>B份额：业绩比较基准为2.6%(年化)。</w:t>
            </w:r>
          </w:p>
          <w:p>
            <w:pPr>
              <w:pStyle w:val="null10"/>
              <w:spacing w:lineRule="exact" w:line="200"/>
            </w:pPr>
            <w:r>
              <w:rPr>
                <w:rFonts w:ascii="方正黑体_GBK" w:hAnsi="方正黑体_GBK" w:cs="宋体" w:eastAsia="方正黑体_GBK"/>
                <w:sz w:val="18"/>
                <w:szCs w:val="18"/>
              </w:rPr>
              <w:t>C份额：业绩比较基准为2.7%(年化)。</w:t>
            </w:r>
          </w:p>
          <w:p>
            <w:pPr>
              <w:pStyle w:val="null10"/>
              <w:spacing w:lineRule="exact" w:line="200"/>
            </w:pPr>
            <w:r>
              <w:rPr>
                <w:rFonts w:ascii="方正黑体_GBK" w:hAnsi="方正黑体_GBK" w:cs="宋体" w:eastAsia="方正黑体_GBK"/>
                <w:sz w:val="18"/>
                <w:szCs w:val="18"/>
              </w:rPr>
              <w:t>D份额：业绩比较基准为2.8%(年化)。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w:t>
            </w:r>
          </w:p>
          <w:p>
            <w:pPr>
              <w:pStyle w:val="null10"/>
              <w:spacing w:lineRule="exact" w:line="200"/>
            </w:pPr>
            <w:r>
              <w:rPr>
                <w:rFonts w:ascii="方正黑体_GBK" w:hAnsi="方正黑体_GBK" w:cs="宋体" w:eastAsia="方正黑体_GBK"/>
                <w:sz w:val="18"/>
                <w:b/>
                <w:szCs w:val="18"/>
              </w:rPr>
              <w:t>B份额：固定管理费年化0.15%</w:t>
            </w:r>
          </w:p>
          <w:p>
            <w:pPr>
              <w:pStyle w:val="null10"/>
              <w:spacing w:lineRule="exact" w:line="200"/>
            </w:pPr>
            <w:r>
              <w:rPr>
                <w:rFonts w:ascii="方正黑体_GBK" w:hAnsi="方正黑体_GBK" w:cs="宋体" w:eastAsia="方正黑体_GBK"/>
                <w:sz w:val="18"/>
                <w:b/>
                <w:szCs w:val="18"/>
              </w:rPr>
              <w:t>C份额：固定管理费年化0.15%</w:t>
            </w:r>
          </w:p>
          <w:p>
            <w:pPr>
              <w:pStyle w:val="null10"/>
              <w:spacing w:lineRule="exact" w:line="200"/>
            </w:pPr>
            <w:r>
              <w:rPr>
                <w:rFonts w:ascii="方正黑体_GBK" w:hAnsi="方正黑体_GBK" w:cs="宋体" w:eastAsia="方正黑体_GBK"/>
                <w:sz w:val="18"/>
                <w:b/>
                <w:szCs w:val="18"/>
              </w:rPr>
              <w:t>D份额：固定管理费年化0.1%</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青岛银行股份有限公司、杭州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甘肃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b7a2beb4"/>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05ae3ea3"/>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05ae3ea3"/>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05ae3ea3"/>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05ae3ea3"/>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05ae3ea3"/>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05ae3ea3"/>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05ae3ea3"/>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05ae3ea3"/>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南银理财珠联璧合鑫逸稳半年101期封闭式公募人民币理财产品</w:t>
      </w:r>
      <w:r>
        <w:rPr>
          <w:rFonts w:ascii="方正黑体_GBK" w:eastAsia="方正黑体_GBK" w:hint="eastAsia" w:hAnsi="方正黑体_GBK"/>
          <w:vanish w:val="0"/>
          <w:color w:val="3D3D3D"/>
          <w:kern w:val="0"/>
          <w:sz w:val="15"/>
          <w:szCs w:val="15"/>
        </w:rPr>
        <w:t>。</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05ae3ea3"/>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05ae3ea3"/>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05ae3ea3"/>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05ae3ea3"/>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35431d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35431d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35431d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35431d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35431d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35431d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05ae3ea3"/>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05ae3ea3"/>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05ae3ea3"/>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35431d61"/>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b7a2beb4"/>
        <w:keepNext w:val="0"/>
        <w:keepLines w:val="0"/>
        <w:pageBreakBefore w:val="0"/>
        <w:widowControl/>
        <w:suppressLineNumbers w:val="0"/>
        <w:suppressAutoHyphens w:val="0"/>
        <w:spacing w:line="200" w:lineRule="exact"/>
        <w:ind w:firstLineChars="200" w:firstLine="300"/>
        <w:rPr>
          <w:rStyle w:val="35431d61"/>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b7a2beb4"/>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b7a2beb4"/>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b7a2beb4"/>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b7a2beb4"/>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b7a2beb4"/>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b7a2beb4"/>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b7a2beb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b7a2beb4"/>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1"/>
  </w:num>
  <w:num w:numId="2">
    <w:abstractNumId w:val="3"/>
  </w:num>
  <w:num w:numId="3">
    <w:abstractNumId w:val="4"/>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3daa1de6">
    <w:name w:val="Normal3daa1de6"/>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9a99e91e">
    <w:name w:val="heading 19a99e91e"/>
    <w:basedOn w:val="3daa1de6"/>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c1293887">
    <w:name w:val="heading 2c1293887"/>
    <w:basedOn w:val="3daa1de6"/>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adf7dbe3">
    <w:name w:val="heading 3adf7dbe3"/>
    <w:basedOn w:val="3daa1de6"/>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a91a02b3">
    <w:name w:val="Default Paragraph Fonta91a02b3"/>
  </w:style>
  <w:style xmlns:r="http://schemas.openxmlformats.org/officeDocument/2006/relationships" w:type="paragraph" w:styleId="6b3b5089">
    <w:name w:val="toc 16b3b5089"/>
    <w:basedOn w:val="3daa1de6"/>
    <w:autoRedefine/>
    <w:next w:val="0"/>
  </w:style>
  <w:style xmlns:r="http://schemas.openxmlformats.org/officeDocument/2006/relationships" w:type="paragraph" w:styleId="d26878e8">
    <w:name w:val="toc 2d26878e8"/>
    <w:basedOn w:val="3daa1de6"/>
    <w:autoRedefine/>
    <w:next w:val="0"/>
    <w:pPr>
      <w:ind w:left="420"/>
    </w:pPr>
  </w:style>
  <w:style xmlns:r="http://schemas.openxmlformats.org/officeDocument/2006/relationships" w:type="paragraph" w:styleId="93ba7a68">
    <w:name w:val="toc 393ba7a68"/>
    <w:basedOn w:val="3daa1de6"/>
    <w:autoRedefine/>
    <w:next w:val="0"/>
    <w:pPr>
      <w:ind w:left="840"/>
    </w:pPr>
  </w:style>
  <w:style xmlns:r="http://schemas.openxmlformats.org/officeDocument/2006/relationships" w:type="paragraph" w:styleId="08e8a107">
    <w:name w:val="toc 408e8a107"/>
    <w:basedOn w:val="3daa1de6"/>
    <w:autoRedefine/>
    <w:next w:val="0"/>
    <w:pPr>
      <w:ind w:left="1260"/>
    </w:pPr>
  </w:style>
  <w:style xmlns:r="http://schemas.openxmlformats.org/officeDocument/2006/relationships" w:type="paragraph" w:styleId="83c66319">
    <w:name w:val="toc 583c66319"/>
    <w:basedOn w:val="3daa1de6"/>
    <w:autoRedefine/>
    <w:next w:val="0"/>
    <w:pPr>
      <w:ind w:left="1680"/>
    </w:pPr>
  </w:style>
  <w:style xmlns:r="http://schemas.openxmlformats.org/officeDocument/2006/relationships" w:type="paragraph" w:styleId="0354f2a6">
    <w:name w:val="header0354f2a6"/>
    <w:basedOn w:val="3daa1de6"/>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0f1ffc3f">
    <w:name w:val="footer0f1ffc3f"/>
    <w:basedOn w:val="3daa1de6"/>
    <w:pPr>
      <w:tabs>
        <w:tab w:val="center" w:pos="4153"/>
        <w:tab w:val="right" w:pos="8307"/>
      </w:tabs>
      <w:adjustRightInd/>
      <w:snapToGrid w:val="0"/>
      <w:contextualSpacing w:val="0"/>
      <w:jc w:val="left"/>
    </w:pPr>
    <w:rPr>
      <w:sz w:val="18"/>
    </w:rPr>
  </w:style>
  <w:style xmlns:r="http://schemas.openxmlformats.org/officeDocument/2006/relationships" w:type="character" w:styleId="c586cd30">
    <w:name w:val="Strongc586cd30"/>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b7a2beb4">
    <w:name w:val="Normalb7a2beb4"/>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d5cc4ba3">
    <w:name w:val="heading 1d5cc4ba3"/>
    <w:basedOn w:val="b7a2beb4"/>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8a3343ed">
    <w:name w:val="heading 28a3343ed"/>
    <w:basedOn w:val="b7a2beb4"/>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43957306">
    <w:name w:val="heading 343957306"/>
    <w:basedOn w:val="b7a2beb4"/>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b4435608">
    <w:name w:val="Default Paragraph Fontb4435608"/>
  </w:style>
  <w:style xmlns:r="http://schemas.openxmlformats.org/officeDocument/2006/relationships" w:type="paragraph" w:styleId="3475b98a">
    <w:name w:val="Normal Indent3475b98a"/>
    <w:basedOn w:val="b7a2beb4"/>
    <w:pPr>
      <w:ind w:firstLineChars="200" w:firstLine="200"/>
    </w:pPr>
  </w:style>
  <w:style xmlns:r="http://schemas.openxmlformats.org/officeDocument/2006/relationships" w:type="paragraph" w:styleId="48ae7df1">
    <w:name w:val="toc 548ae7df1"/>
    <w:basedOn w:val="b7a2beb4"/>
    <w:next w:val="0"/>
    <w:pPr>
      <w:ind w:left="1680"/>
    </w:pPr>
  </w:style>
  <w:style xmlns:r="http://schemas.openxmlformats.org/officeDocument/2006/relationships" w:type="paragraph" w:styleId="84d3dac7">
    <w:name w:val="toc 384d3dac7"/>
    <w:basedOn w:val="b7a2beb4"/>
    <w:next w:val="0"/>
    <w:pPr>
      <w:ind w:left="840"/>
    </w:pPr>
  </w:style>
  <w:style xmlns:r="http://schemas.openxmlformats.org/officeDocument/2006/relationships" w:type="paragraph" w:styleId="974f59d3">
    <w:name w:val="footer974f59d3"/>
    <w:basedOn w:val="b7a2beb4"/>
    <w:pPr>
      <w:tabs>
        <w:tab w:val="center" w:pos="4153"/>
        <w:tab w:val="right" w:pos="8307"/>
      </w:tabs>
      <w:adjustRightInd/>
      <w:snapToGrid w:val="0"/>
      <w:contextualSpacing w:val="0"/>
      <w:jc w:val="left"/>
    </w:pPr>
    <w:rPr>
      <w:sz w:val="18"/>
    </w:rPr>
  </w:style>
  <w:style xmlns:r="http://schemas.openxmlformats.org/officeDocument/2006/relationships" w:type="paragraph" w:styleId="f2c25a20">
    <w:name w:val="headerf2c25a20"/>
    <w:basedOn w:val="b7a2beb4"/>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ac00b77e">
    <w:name w:val="toc 1ac00b77e"/>
    <w:basedOn w:val="b7a2beb4"/>
    <w:next w:val="0"/>
  </w:style>
  <w:style xmlns:r="http://schemas.openxmlformats.org/officeDocument/2006/relationships" w:type="paragraph" w:styleId="288921c8">
    <w:name w:val="toc 4288921c8"/>
    <w:basedOn w:val="b7a2beb4"/>
    <w:next w:val="0"/>
    <w:pPr>
      <w:ind w:left="1260"/>
    </w:pPr>
  </w:style>
  <w:style xmlns:r="http://schemas.openxmlformats.org/officeDocument/2006/relationships" w:type="paragraph" w:styleId="0bd219d7">
    <w:name w:val="toc 20bd219d7"/>
    <w:basedOn w:val="b7a2beb4"/>
    <w:next w:val="0"/>
    <w:pPr>
      <w:ind w:left="420"/>
    </w:pPr>
  </w:style>
  <w:style xmlns:r="http://schemas.openxmlformats.org/officeDocument/2006/relationships" w:type="paragraph" w:styleId="8935f2e5">
    <w:name w:val="Normal (Web)8935f2e5"/>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05ae3ea3">
    <w:name w:val="Normal05ae3ea305ae3ea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31efb091">
    <w:name w:val="heading 131efb09131efb091"/>
    <w:basedOn w:val="05ae3ea3"/>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d9fa5f09">
    <w:name w:val="heading 2d9fa5f09d9fa5f09"/>
    <w:basedOn w:val="05ae3ea3"/>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4dac0ded">
    <w:name w:val="heading 34dac0ded4dac0ded"/>
    <w:basedOn w:val="05ae3ea3"/>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5ae73941">
    <w:name w:val="Default Paragraph Font5ae739415ae73941"/>
  </w:style>
  <w:style xmlns:r="http://schemas.openxmlformats.org/officeDocument/2006/relationships" w:type="paragraph" w:customStyle="1" w:styleId="f60848d0">
    <w:name w:val="引文目录1f60848d0f60848d0"/>
    <w:basedOn w:val="05ae3ea3"/>
    <w:next w:val="0"/>
    <w:pPr>
      <w:ind w:leftChars="200" w:left="200"/>
    </w:pPr>
  </w:style>
  <w:style xmlns:r="http://schemas.openxmlformats.org/officeDocument/2006/relationships" w:type="paragraph" w:styleId="88faf1e3">
    <w:name w:val="toc 588faf1e388faf1e3"/>
    <w:basedOn w:val="05ae3ea3"/>
    <w:next w:val="0"/>
    <w:pPr>
      <w:ind w:left="1680"/>
    </w:pPr>
  </w:style>
  <w:style xmlns:r="http://schemas.openxmlformats.org/officeDocument/2006/relationships" w:type="paragraph" w:styleId="db591727">
    <w:name w:val="toc 3db591727db591727"/>
    <w:basedOn w:val="05ae3ea3"/>
    <w:next w:val="0"/>
    <w:pPr>
      <w:ind w:left="840"/>
    </w:pPr>
  </w:style>
  <w:style xmlns:r="http://schemas.openxmlformats.org/officeDocument/2006/relationships" w:type="paragraph" w:styleId="15353365">
    <w:name w:val="footer1535336515353365"/>
    <w:basedOn w:val="05ae3ea3"/>
    <w:pPr>
      <w:tabs>
        <w:tab w:val="center" w:pos="4153"/>
        <w:tab w:val="right" w:pos="8307"/>
      </w:tabs>
      <w:adjustRightInd/>
      <w:snapToGrid w:val="0"/>
      <w:contextualSpacing w:val="0"/>
      <w:jc w:val="left"/>
    </w:pPr>
    <w:rPr>
      <w:sz w:val="18"/>
    </w:rPr>
  </w:style>
  <w:style xmlns:r="http://schemas.openxmlformats.org/officeDocument/2006/relationships" w:type="paragraph" w:styleId="009d1c08">
    <w:name w:val="header009d1c08009d1c08"/>
    <w:basedOn w:val="05ae3ea3"/>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3ce3e7e4">
    <w:name w:val="toc 13ce3e7e43ce3e7e4"/>
    <w:basedOn w:val="05ae3ea3"/>
    <w:next w:val="0"/>
  </w:style>
  <w:style xmlns:r="http://schemas.openxmlformats.org/officeDocument/2006/relationships" w:type="paragraph" w:styleId="d160a8fc">
    <w:name w:val="toc 4d160a8fcd160a8fc"/>
    <w:basedOn w:val="05ae3ea3"/>
    <w:next w:val="0"/>
    <w:pPr>
      <w:ind w:left="1260"/>
    </w:pPr>
  </w:style>
  <w:style xmlns:r="http://schemas.openxmlformats.org/officeDocument/2006/relationships" w:type="paragraph" w:styleId="cb326a6f">
    <w:name w:val="toc 2cb326a6fcb326a6f"/>
    <w:basedOn w:val="05ae3ea3"/>
    <w:next w:val="0"/>
    <w:pPr>
      <w:ind w:left="420"/>
    </w:pPr>
  </w:style>
  <w:style xmlns:r="http://schemas.openxmlformats.org/officeDocument/2006/relationships" w:type="paragraph" w:customStyle="1" w:styleId="35431d61">
    <w:name w:val="列出段落135431d6135431d61"/>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