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EAF5B6">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5D489CA4">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1A420C78">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192F0A0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772AD34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25AD872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南银理财珠联璧合鑫逸稳两年98期封闭式公募人民币理财产品</w:t>
            </w:r>
          </w:p>
        </w:tc>
      </w:tr>
      <w:tr w14:paraId="5D77128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38953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6BC2DB0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5E1CE54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5F32C82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0B4C31D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35AD00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29F97E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5E21239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ZZ700322400507</w:t>
            </w:r>
          </w:p>
        </w:tc>
      </w:tr>
      <w:tr w14:paraId="580D5B6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87D8B4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1CEBD8F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Z7003224000229(投资者可依据该编码在中国理财网www.chinawealth.com.cn查询理财产品相关信息）</w:t>
            </w:r>
          </w:p>
        </w:tc>
      </w:tr>
      <w:tr w14:paraId="758F5AF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F2EF6B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7978AD6C">
            <w:pPr>
              <w:spacing w:line="200" w:lineRule="exact"/>
            </w:pPr>
            <w:r>
              <w:rPr>
                <w:rFonts w:ascii="方正黑体_GBK" w:hAnsi="方正黑体_GBK" w:eastAsia="方正黑体_GBK" w:cs="宋体"/>
                <w:sz w:val="18"/>
                <w:szCs w:val="18"/>
              </w:rPr>
              <w:t>A份额：Y60098</w:t>
            </w:r>
          </w:p>
          <w:p w14:paraId="29954930">
            <w:pPr>
              <w:spacing w:line="200" w:lineRule="exact"/>
            </w:pPr>
            <w:r>
              <w:rPr>
                <w:rFonts w:ascii="方正黑体_GBK" w:hAnsi="方正黑体_GBK" w:eastAsia="方正黑体_GBK" w:cs="宋体"/>
                <w:sz w:val="18"/>
                <w:szCs w:val="18"/>
              </w:rPr>
              <w:t>B份额：Y61098</w:t>
            </w:r>
          </w:p>
          <w:p w14:paraId="2B5815E2">
            <w:pPr>
              <w:spacing w:line="200" w:lineRule="exact"/>
            </w:pPr>
            <w:r>
              <w:rPr>
                <w:rFonts w:ascii="方正黑体_GBK" w:hAnsi="方正黑体_GBK" w:eastAsia="方正黑体_GBK" w:cs="宋体"/>
                <w:sz w:val="18"/>
                <w:szCs w:val="18"/>
              </w:rPr>
              <w:t>C份额：Y62098</w:t>
            </w:r>
          </w:p>
          <w:p w14:paraId="5437CD16">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tc>
      </w:tr>
      <w:tr w14:paraId="271A115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3714C4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1A9ABECA">
            <w:pPr>
              <w:spacing w:line="200" w:lineRule="exact"/>
            </w:pPr>
            <w:r>
              <w:rPr>
                <w:rFonts w:ascii="方正黑体_GBK" w:hAnsi="方正黑体_GBK" w:eastAsia="方正黑体_GBK" w:cs="宋体"/>
                <w:sz w:val="18"/>
                <w:szCs w:val="18"/>
              </w:rPr>
              <w:t>全国</w:t>
            </w:r>
          </w:p>
        </w:tc>
      </w:tr>
      <w:tr w14:paraId="14295D2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02DEA0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4649FF12">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486FAE8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315B47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4CF8BB27">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1B17071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3D6BF9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29F70325">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50679773">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7C9EB76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42449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25961CED">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35D3A1A1">
            <w:pPr>
              <w:spacing w:line="200" w:lineRule="exact"/>
            </w:pPr>
            <w:r>
              <w:rPr>
                <w:rFonts w:ascii="方正黑体_GBK" w:hAnsi="方正黑体_GBK" w:eastAsia="方正黑体_GBK" w:cs="宋体"/>
                <w:sz w:val="18"/>
                <w:szCs w:val="18"/>
              </w:rPr>
              <w:t>A份额：除B、C份额以外的所有客户（详见“销售机构”条款）。</w:t>
            </w:r>
          </w:p>
          <w:p w14:paraId="7E43DEF9">
            <w:pPr>
              <w:spacing w:line="200" w:lineRule="exact"/>
            </w:pPr>
            <w:r>
              <w:rPr>
                <w:rFonts w:ascii="方正黑体_GBK" w:hAnsi="方正黑体_GBK" w:eastAsia="方正黑体_GBK" w:cs="宋体"/>
                <w:sz w:val="18"/>
                <w:szCs w:val="18"/>
              </w:rPr>
              <w:t>B份额：南京银行股份有限公司（新客或新资金或代发客户）、杭州银行股份有限公司（大众客户）、温州银行股份有限公司、河北银行股份有限公司、江苏苏州农村商业银行股份有限公司（社保卡客户专享）、齐鲁银行股份有限公司（白金/私行客户。白金客户：零售金融资产100万以上客户、私行客户：零售金融资产600万以上客户）、天津农村商业银行股份有限公司（代发客户）、东营银行股份有限公司、宁波通商银行股份有限公司、江苏如皋农村商业银行股份有限公司（代发客户）。</w:t>
            </w:r>
          </w:p>
          <w:p w14:paraId="71E83733">
            <w:pPr>
              <w:spacing w:line="200" w:lineRule="exact"/>
            </w:pPr>
            <w:r>
              <w:rPr>
                <w:rFonts w:ascii="方正黑体_GBK" w:hAnsi="方正黑体_GBK" w:eastAsia="方正黑体_GBK" w:cs="宋体"/>
                <w:sz w:val="18"/>
                <w:szCs w:val="18"/>
              </w:rPr>
              <w:t>C份额：杭州银行股份有限公司（私行客户）、兰州银行股份有限公司、甘肃银行股份有限公司、江苏泰兴农村商业银行股份有限公司、江苏靖江农村商业银行股份有限公司、江苏紫金农村商业银行股份有限公司（起点金额30万元以上）、江苏如东农村商业银行股份有限公司。</w:t>
            </w:r>
          </w:p>
          <w:p w14:paraId="3F724D3A">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p w14:paraId="1C6D43C8">
            <w:pPr>
              <w:spacing w:line="200" w:lineRule="exact"/>
            </w:pPr>
            <w:r>
              <w:rPr>
                <w:rFonts w:ascii="方正黑体_GBK" w:hAnsi="方正黑体_GBK" w:eastAsia="方正黑体_GBK" w:cs="宋体"/>
                <w:b/>
                <w:sz w:val="18"/>
                <w:szCs w:val="18"/>
              </w:rPr>
              <w:t>南京银行新客或新资金或代发客户：</w:t>
            </w:r>
            <w:r>
              <w:rPr>
                <w:rFonts w:ascii="方正黑体_GBK" w:hAnsi="方正黑体_GBK" w:eastAsia="方正黑体_GBK" w:cs="宋体"/>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14:paraId="12FFE2F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F96D01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6280F8EF">
            <w:pPr>
              <w:spacing w:line="200" w:lineRule="exact"/>
            </w:pPr>
            <w:r>
              <w:rPr>
                <w:rFonts w:ascii="方正黑体_GBK" w:hAnsi="方正黑体_GBK" w:eastAsia="方正黑体_GBK" w:cs="宋体"/>
                <w:sz w:val="18"/>
                <w:szCs w:val="18"/>
              </w:rPr>
              <w:t>A份额/B份额/C份额：</w:t>
            </w:r>
          </w:p>
          <w:p w14:paraId="08C2E4C3">
            <w:pPr>
              <w:spacing w:line="200" w:lineRule="exact"/>
            </w:pPr>
            <w:r>
              <w:rPr>
                <w:rFonts w:ascii="方正黑体_GBK" w:hAnsi="方正黑体_GBK" w:eastAsia="方正黑体_GBK" w:cs="宋体"/>
                <w:sz w:val="18"/>
                <w:szCs w:val="18"/>
              </w:rPr>
              <w:t>个人投资者投资起点金额1元人民币，以1元的整数倍递增；</w:t>
            </w:r>
          </w:p>
          <w:p w14:paraId="04561835">
            <w:pPr>
              <w:spacing w:line="200" w:lineRule="exact"/>
            </w:pPr>
            <w:r>
              <w:rPr>
                <w:rFonts w:ascii="方正黑体_GBK" w:hAnsi="方正黑体_GBK" w:eastAsia="方正黑体_GBK" w:cs="宋体"/>
                <w:sz w:val="18"/>
                <w:szCs w:val="18"/>
              </w:rPr>
              <w:t>机构投资者投资起点金额1元人民币，以1元的整数倍递增；</w:t>
            </w:r>
          </w:p>
          <w:p w14:paraId="2335AEAD">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2CB0E84B">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6ECF33D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D83159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5EF4AB12">
            <w:pPr>
              <w:spacing w:line="200" w:lineRule="exact"/>
            </w:pPr>
            <w:r>
              <w:rPr>
                <w:rFonts w:ascii="方正黑体_GBK" w:hAnsi="方正黑体_GBK" w:eastAsia="方正黑体_GBK" w:cs="宋体"/>
                <w:sz w:val="18"/>
                <w:szCs w:val="18"/>
              </w:rPr>
              <w:t>A份额/B份额/C份额：</w:t>
            </w:r>
          </w:p>
          <w:p w14:paraId="3FB46EDF">
            <w:pPr>
              <w:spacing w:line="200" w:lineRule="exact"/>
            </w:pPr>
            <w:r>
              <w:rPr>
                <w:rFonts w:ascii="方正黑体_GBK" w:hAnsi="方正黑体_GBK" w:eastAsia="方正黑体_GBK" w:cs="宋体"/>
                <w:sz w:val="18"/>
                <w:szCs w:val="18"/>
              </w:rPr>
              <w:t>暂不设置单个投资者持有金额上限；</w:t>
            </w:r>
          </w:p>
          <w:p w14:paraId="7F44224B">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42B0B7CD">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46EB865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EC5669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4CA49B3A">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30E8104D">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05C8B5D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CCCFA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33F5A89F">
            <w:pPr>
              <w:spacing w:line="200" w:lineRule="exact"/>
            </w:pPr>
            <w:r>
              <w:rPr>
                <w:rFonts w:ascii="方正黑体_GBK" w:hAnsi="方正黑体_GBK" w:eastAsia="方正黑体_GBK" w:cs="宋体"/>
                <w:color w:val="000000"/>
                <w:sz w:val="18"/>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269C7FB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D378208">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28EC462A">
            <w:pPr>
              <w:spacing w:line="360" w:lineRule="auto"/>
            </w:pPr>
            <w:r>
              <w:rPr>
                <w:rFonts w:ascii="方正黑体_GBK" w:hAnsi="方正黑体_GBK" w:eastAsia="方正黑体_GBK" w:cs="宋体"/>
                <w:sz w:val="18"/>
                <w:szCs w:val="18"/>
              </w:rPr>
              <w:t>认购份额=确认认购金额/1。（认购份额以去尾法保留两位小数）</w:t>
            </w:r>
          </w:p>
        </w:tc>
      </w:tr>
      <w:tr w14:paraId="39ADB4F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5EB269F">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77A073BA">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42F5933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156CBC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2B89073B">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2024年11月27日</w:t>
            </w:r>
          </w:p>
        </w:tc>
      </w:tr>
      <w:tr w14:paraId="5946F33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8604BC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7AFD36C7">
            <w:pPr>
              <w:spacing w:line="200" w:lineRule="exact"/>
            </w:pPr>
            <w:r>
              <w:rPr>
                <w:rFonts w:ascii="方正黑体_GBK" w:hAnsi="方正黑体_GBK" w:eastAsia="方正黑体_GBK" w:cs="宋体"/>
                <w:sz w:val="18"/>
                <w:szCs w:val="18"/>
              </w:rPr>
              <w:t>2024年11月27日—实际到期日（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749天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532C6E3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890B35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4906E7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2026年12月16日</w:t>
            </w:r>
          </w:p>
        </w:tc>
      </w:tr>
      <w:tr w14:paraId="7CC7950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31C70E5">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6F16248B">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6670119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5B5AFD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112ADACE">
            <w:pPr>
              <w:spacing w:line="200" w:lineRule="exact"/>
            </w:pPr>
            <w:r>
              <w:rPr>
                <w:rFonts w:ascii="方正黑体_GBK" w:hAnsi="方正黑体_GBK" w:eastAsia="方正黑体_GBK" w:cs="宋体"/>
                <w:sz w:val="18"/>
                <w:szCs w:val="18"/>
              </w:rPr>
              <w:t>本理财产品存续期间不进行分红。</w:t>
            </w:r>
          </w:p>
          <w:p w14:paraId="02397945">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12F1D65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284822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7054B618">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3D0B552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50C4F5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35CEE3E6">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69FCF40D">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0FAABC77">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587AF062">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3E19BD68">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78EFF0B6">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4A8E0705">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622886B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52463B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57E441C7">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1FDEC081">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06D16B5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250FD1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43C746D4">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42F327D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96A43D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4417085B">
            <w:pPr>
              <w:spacing w:line="200" w:lineRule="exact"/>
            </w:pPr>
            <w:r>
              <w:rPr>
                <w:rFonts w:ascii="方正黑体_GBK" w:hAnsi="方正黑体_GBK" w:eastAsia="方正黑体_GBK" w:cs="宋体"/>
                <w:b/>
                <w:sz w:val="18"/>
                <w:szCs w:val="18"/>
              </w:rPr>
              <w:t>本理财产品拟投资以下备选非标准化债权类资产：</w:t>
            </w:r>
          </w:p>
          <w:p w14:paraId="64331AC7">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14:paraId="609E41D6">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1DCF4B9A">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0E2C3BF4">
            <w:pPr>
              <w:spacing w:line="200" w:lineRule="exact"/>
            </w:pPr>
            <w:r>
              <w:rPr>
                <w:rFonts w:ascii="方正黑体_GBK" w:hAnsi="方正黑体_GBK" w:eastAsia="方正黑体_GBK" w:cs="宋体"/>
                <w:sz w:val="18"/>
                <w:szCs w:val="18"/>
              </w:rPr>
              <w:t>4、同业借款：资产类型为南银理财有限责任公司向持牌金融机构发放的同业借款，期限不超过1年，融资人为江苏金融租赁股份有限公司。</w:t>
            </w:r>
          </w:p>
          <w:p w14:paraId="7453A262">
            <w:pPr>
              <w:spacing w:line="200" w:lineRule="exact"/>
            </w:pPr>
            <w:r>
              <w:rPr>
                <w:rFonts w:ascii="方正黑体_GBK" w:hAnsi="方正黑体_GBK" w:eastAsia="方正黑体_GBK" w:cs="宋体"/>
                <w:b/>
                <w:sz w:val="18"/>
                <w:szCs w:val="18"/>
              </w:rPr>
              <w:t>以上资产剩余期限均不超过产品期限。</w:t>
            </w:r>
          </w:p>
          <w:p w14:paraId="7CF80287">
            <w:pPr>
              <w:spacing w:line="200" w:lineRule="exact"/>
            </w:pPr>
            <w:r>
              <w:rPr>
                <w:rFonts w:ascii="方正黑体_GBK" w:hAnsi="方正黑体_GBK" w:eastAsia="方正黑体_GBK" w:cs="宋体"/>
                <w:b/>
                <w:sz w:val="18"/>
                <w:szCs w:val="18"/>
              </w:rPr>
              <w:t>产品管理人将优先选择上述备选非标准化债权类资产中的一笔或者多笔作为本理财产品投资的非标准化债权类资产，并在本理财产品的定期报告中进行信息披露。</w:t>
            </w:r>
          </w:p>
          <w:p w14:paraId="36D1CD7E">
            <w:pPr>
              <w:spacing w:line="200" w:lineRule="exact"/>
            </w:pPr>
            <w:r>
              <w:rPr>
                <w:rFonts w:ascii="方正黑体_GBK" w:hAnsi="方正黑体_GBK" w:eastAsia="方正黑体_GBK"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14:paraId="0C6DC7F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0C228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631899E7">
            <w:pPr>
              <w:spacing w:line="200" w:lineRule="exact"/>
            </w:pPr>
            <w:r>
              <w:rPr>
                <w:rFonts w:ascii="方正黑体_GBK" w:hAnsi="方正黑体_GBK" w:eastAsia="方正黑体_GBK" w:cs="宋体"/>
                <w:sz w:val="18"/>
                <w:szCs w:val="18"/>
              </w:rPr>
              <w:t>A份额：业绩比较基准为年化2.5%-3.3% 。</w:t>
            </w:r>
          </w:p>
          <w:p w14:paraId="29DC5CA1">
            <w:pPr>
              <w:spacing w:line="200" w:lineRule="exact"/>
            </w:pPr>
            <w:r>
              <w:rPr>
                <w:rFonts w:ascii="方正黑体_GBK" w:hAnsi="方正黑体_GBK" w:eastAsia="方正黑体_GBK" w:cs="宋体"/>
                <w:sz w:val="18"/>
                <w:szCs w:val="18"/>
              </w:rPr>
              <w:t>B份额：业绩比较基准为年化2.6%-3.4% 。</w:t>
            </w:r>
          </w:p>
          <w:p w14:paraId="39D43972">
            <w:pPr>
              <w:spacing w:line="200" w:lineRule="exact"/>
            </w:pPr>
            <w:r>
              <w:rPr>
                <w:rFonts w:ascii="方正黑体_GBK" w:hAnsi="方正黑体_GBK" w:eastAsia="方正黑体_GBK" w:cs="宋体"/>
                <w:sz w:val="18"/>
                <w:szCs w:val="18"/>
              </w:rPr>
              <w:t>C份额：业绩比较基准为年化2.7%-3.5% 。</w:t>
            </w:r>
          </w:p>
          <w:p w14:paraId="178E86E1">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58E93A3B">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7121BF28">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53C8931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DB54E55">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5AF1A741">
            <w:pPr>
              <w:spacing w:line="200" w:lineRule="exact"/>
            </w:pPr>
            <w:r>
              <w:rPr>
                <w:rFonts w:ascii="方正黑体_GBK" w:hAnsi="方正黑体_GBK" w:eastAsia="方正黑体_GBK" w:cs="宋体"/>
                <w:b/>
                <w:sz w:val="18"/>
                <w:szCs w:val="18"/>
              </w:rPr>
              <w:t>认/申购费：本理财产品暂不收取认/申购费。</w:t>
            </w:r>
          </w:p>
          <w:p w14:paraId="10104244">
            <w:pPr>
              <w:spacing w:line="200" w:lineRule="exact"/>
            </w:pPr>
            <w:r>
              <w:rPr>
                <w:rFonts w:ascii="方正黑体_GBK" w:hAnsi="方正黑体_GBK" w:eastAsia="方正黑体_GBK" w:cs="宋体"/>
                <w:b/>
                <w:sz w:val="18"/>
                <w:szCs w:val="18"/>
              </w:rPr>
              <w:t>赎回费：本理财产品暂不收取赎回费。</w:t>
            </w:r>
          </w:p>
          <w:p w14:paraId="442F804D">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3CF08AE6">
            <w:pPr>
              <w:spacing w:line="200" w:lineRule="exact"/>
            </w:pPr>
            <w:r>
              <w:rPr>
                <w:rFonts w:ascii="方正黑体_GBK" w:hAnsi="方正黑体_GBK" w:eastAsia="方正黑体_GBK" w:cs="宋体"/>
                <w:b/>
                <w:sz w:val="18"/>
                <w:szCs w:val="18"/>
              </w:rPr>
              <w:t>A份额：销售费年化0.2%</w:t>
            </w:r>
          </w:p>
          <w:p w14:paraId="3043B7C6">
            <w:pPr>
              <w:spacing w:line="200" w:lineRule="exact"/>
            </w:pPr>
            <w:r>
              <w:rPr>
                <w:rFonts w:ascii="方正黑体_GBK" w:hAnsi="方正黑体_GBK" w:eastAsia="方正黑体_GBK" w:cs="宋体"/>
                <w:b/>
                <w:sz w:val="18"/>
                <w:szCs w:val="18"/>
              </w:rPr>
              <w:t>B份额：销售费年化0.15%</w:t>
            </w:r>
          </w:p>
          <w:p w14:paraId="7E9D9B04">
            <w:pPr>
              <w:spacing w:line="200" w:lineRule="exact"/>
            </w:pPr>
            <w:r>
              <w:rPr>
                <w:rFonts w:ascii="方正黑体_GBK" w:hAnsi="方正黑体_GBK" w:eastAsia="方正黑体_GBK" w:cs="宋体"/>
                <w:b/>
                <w:sz w:val="18"/>
                <w:szCs w:val="18"/>
              </w:rPr>
              <w:t>C份额：销售费年化0.05%</w:t>
            </w:r>
          </w:p>
          <w:p w14:paraId="62DC9EEA">
            <w:pPr>
              <w:spacing w:line="200" w:lineRule="exact"/>
            </w:pPr>
            <w:r>
              <w:rPr>
                <w:rFonts w:ascii="方正黑体_GBK" w:hAnsi="方正黑体_GBK" w:eastAsia="方正黑体_GBK" w:cs="宋体"/>
                <w:b/>
                <w:sz w:val="18"/>
                <w:szCs w:val="18"/>
              </w:rPr>
              <w:t>每日计提的销售费=前一日理财产品资产净值×年化销售费率÷365</w:t>
            </w:r>
          </w:p>
          <w:p w14:paraId="49334BA1">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3514D384">
            <w:pPr>
              <w:spacing w:line="200" w:lineRule="exact"/>
            </w:pPr>
            <w:r>
              <w:rPr>
                <w:rFonts w:ascii="方正黑体_GBK" w:hAnsi="方正黑体_GBK" w:eastAsia="方正黑体_GBK" w:cs="宋体"/>
                <w:b/>
                <w:sz w:val="18"/>
                <w:szCs w:val="18"/>
              </w:rPr>
              <w:t>A份额：固定管理费年化0.3%</w:t>
            </w:r>
          </w:p>
          <w:p w14:paraId="437FD0E8">
            <w:pPr>
              <w:spacing w:line="200" w:lineRule="exact"/>
            </w:pPr>
            <w:r>
              <w:rPr>
                <w:rFonts w:ascii="方正黑体_GBK" w:hAnsi="方正黑体_GBK" w:eastAsia="方正黑体_GBK" w:cs="宋体"/>
                <w:b/>
                <w:sz w:val="18"/>
                <w:szCs w:val="18"/>
              </w:rPr>
              <w:t>B份额：固定管理费年化0.25%</w:t>
            </w:r>
          </w:p>
          <w:p w14:paraId="07FA6511">
            <w:pPr>
              <w:spacing w:line="200" w:lineRule="exact"/>
            </w:pPr>
            <w:r>
              <w:rPr>
                <w:rFonts w:ascii="方正黑体_GBK" w:hAnsi="方正黑体_GBK" w:eastAsia="方正黑体_GBK" w:cs="宋体"/>
                <w:b/>
                <w:sz w:val="18"/>
                <w:szCs w:val="18"/>
              </w:rPr>
              <w:t>C份额：固定管理费年化0.25%</w:t>
            </w:r>
          </w:p>
          <w:p w14:paraId="3B71593E">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58FCD9AD">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14:paraId="66659A6C">
            <w:pPr>
              <w:spacing w:line="200" w:lineRule="exact"/>
            </w:pPr>
            <w:r>
              <w:rPr>
                <w:rFonts w:ascii="方正黑体_GBK" w:hAnsi="方正黑体_GBK" w:eastAsia="方正黑体_GBK" w:cs="宋体"/>
                <w:b/>
                <w:sz w:val="18"/>
                <w:szCs w:val="18"/>
              </w:rPr>
              <w:t>每日计提的托管费=前一日理财产品资产净值×年化托管费率÷365</w:t>
            </w:r>
          </w:p>
          <w:p w14:paraId="1ED6563A">
            <w:pPr>
              <w:spacing w:line="200" w:lineRule="exact"/>
            </w:pPr>
            <w:r>
              <w:rPr>
                <w:rFonts w:ascii="方正黑体_GBK" w:hAnsi="方正黑体_GBK" w:eastAsia="方正黑体_GBK" w:cs="宋体"/>
                <w:b/>
                <w:sz w:val="18"/>
                <w:szCs w:val="18"/>
              </w:rPr>
              <w:t>业绩报酬：</w:t>
            </w:r>
          </w:p>
          <w:p w14:paraId="15F73C62">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在2.5%（含）（年化，即产品该份额对应的业绩报酬计提基准）至3.3%（不含）之间的部分，管理人将按超过2.5%部分的50%收取业绩报酬；在3.3%（含）（年化，即产品该份额对应的业绩报酬计提基准）以上的部分，管理人将按超过3.3%部分的60%收取业绩报酬。</w:t>
            </w:r>
          </w:p>
          <w:p w14:paraId="0075CC8A">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在2.6%（含）（年化，即产品该份额对应的业绩报酬计提基准）至3.4%（不含）之间的部分，管理人将按超过2.6%部分的50%收取业绩报酬；在3.4%（含）（年化，即产品该份额对应的业绩报酬计提基准）以上的部分，管理人将按超过3.4%部分的60%收取业绩报酬。</w:t>
            </w:r>
          </w:p>
          <w:p w14:paraId="1ACE5E88">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在2.7%（含）（年化，即产品该份额对应的业绩报酬计提基准）至3.5%（不含）之间的部分，管理人将按超过2.7%部分的50%收取业绩报酬；在3.5%（含）（年化，即产品该份额对应的业绩报酬计提基准）以上的部分，管理人将按超过3.5%部分的60%收取业绩报酬。</w:t>
            </w:r>
          </w:p>
          <w:p w14:paraId="29753636">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602EEF3D">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5393948A">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6A489613">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5BB352F2">
            <w:pPr>
              <w:spacing w:line="200" w:lineRule="exact"/>
            </w:pPr>
            <w:r>
              <w:rPr>
                <w:rFonts w:ascii="方正黑体_GBK" w:hAnsi="方正黑体_GBK" w:eastAsia="方正黑体_GBK" w:cs="宋体"/>
                <w:b/>
                <w:sz w:val="18"/>
                <w:szCs w:val="18"/>
              </w:rPr>
              <w:t>计算本区间业绩报酬的公式如下：</w:t>
            </w:r>
          </w:p>
          <w:p w14:paraId="0CA07503">
            <w:pPr>
              <w:spacing w:line="200" w:lineRule="exact"/>
            </w:pPr>
            <w:r>
              <w:rPr>
                <w:rFonts w:ascii="方正黑体_GBK" w:hAnsi="方正黑体_GBK" w:eastAsia="方正黑体_GBK" w:cs="宋体"/>
                <w:b/>
                <w:sz w:val="18"/>
                <w:szCs w:val="18"/>
              </w:rPr>
              <w:t>A={B-C*D*(1+E*F/365)}*G。</w:t>
            </w:r>
          </w:p>
          <w:p w14:paraId="41F1A9BE">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49F847C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D87E6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64B5029E">
            <w:pPr>
              <w:spacing w:line="200" w:lineRule="exact"/>
            </w:pPr>
            <w:r>
              <w:rPr>
                <w:rFonts w:ascii="方正黑体_GBK" w:hAnsi="方正黑体_GBK" w:eastAsia="方正黑体_GBK" w:cs="宋体"/>
                <w:sz w:val="18"/>
                <w:szCs w:val="18"/>
              </w:rPr>
              <w:t>具体详见本理财产品风险揭示书。</w:t>
            </w:r>
          </w:p>
        </w:tc>
      </w:tr>
      <w:tr w14:paraId="251FE1F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121D8B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61EE0C0B">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48DC581F">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568EF238">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27873F3D">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1CBF0005">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76D2589C">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78F22433">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19DBE614">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1556851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C17268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58812876">
            <w:pPr>
              <w:spacing w:line="200" w:lineRule="exact"/>
              <w:jc w:val="left"/>
            </w:pPr>
            <w:r>
              <w:rPr>
                <w:rFonts w:ascii="方正黑体_GBK" w:hAnsi="方正黑体_GBK" w:eastAsia="方正黑体_GBK" w:cs="宋体"/>
                <w:sz w:val="18"/>
                <w:szCs w:val="18"/>
              </w:rPr>
              <w:t>本理财产品销售机构为南京银行股份有限公司、青岛银行股份有限公司、杭州银行股份有限公司、嘉兴银行股份有限公司、江苏常熟农村商业银行股份有限公司、江苏苏州农村商业银行股份有限公司、秦皇岛银行股份有限公司、泰安银行股份有限公司、宁波东海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宁波通商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东海农村商业银行股份有限公司、江苏高邮农村商业银行股份有限公司、河北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管理人有权调整本理财产品的销售机构并进行信息披露。</w:t>
            </w:r>
          </w:p>
          <w:p w14:paraId="46897256">
            <w:pPr>
              <w:spacing w:line="200" w:lineRule="exact"/>
              <w:jc w:val="left"/>
            </w:pPr>
            <w:r>
              <w:rPr>
                <w:rFonts w:ascii="方正黑体_GBK" w:hAnsi="方正黑体_GBK" w:eastAsia="方正黑体_GBK" w:cs="宋体"/>
                <w:sz w:val="18"/>
                <w:szCs w:val="18"/>
              </w:rPr>
              <w:t>销售机构主要职责如下：</w:t>
            </w:r>
          </w:p>
          <w:p w14:paraId="22685A3C">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2F95B541">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6B58BADC">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0666EF33">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1AC40A94">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7A651B67">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1024939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0E8EB8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11BF41C9">
            <w:pPr>
              <w:spacing w:line="200" w:lineRule="exact"/>
            </w:pPr>
            <w:r>
              <w:rPr>
                <w:rFonts w:ascii="方正黑体_GBK" w:hAnsi="方正黑体_GBK" w:eastAsia="方正黑体_GBK" w:cs="宋体"/>
                <w:sz w:val="18"/>
                <w:szCs w:val="18"/>
              </w:rPr>
              <w:t>本理财产品托管人为南京银行股份有限公司，主要职责如下：</w:t>
            </w:r>
          </w:p>
          <w:p w14:paraId="70739000">
            <w:pPr>
              <w:spacing w:line="200" w:lineRule="exact"/>
            </w:pPr>
            <w:r>
              <w:rPr>
                <w:rFonts w:ascii="方正黑体_GBK" w:hAnsi="方正黑体_GBK" w:eastAsia="方正黑体_GBK" w:cs="宋体"/>
                <w:sz w:val="18"/>
                <w:szCs w:val="18"/>
              </w:rPr>
              <w:t>1.安全保管理财产品财产；</w:t>
            </w:r>
          </w:p>
          <w:p w14:paraId="042418EA">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2166E8EF">
            <w:pPr>
              <w:spacing w:line="200" w:lineRule="exact"/>
            </w:pPr>
            <w:r>
              <w:rPr>
                <w:rFonts w:ascii="方正黑体_GBK" w:hAnsi="方正黑体_GBK" w:eastAsia="方正黑体_GBK" w:cs="宋体"/>
                <w:sz w:val="18"/>
                <w:szCs w:val="18"/>
              </w:rPr>
              <w:t>3.按照托管协议约定和管理人的投资指令，及时办理清算、交割事宜；</w:t>
            </w:r>
          </w:p>
          <w:p w14:paraId="6F4D0CD5">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587B39CF">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747BCA6E">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8DF3BF5">
            <w:pPr>
              <w:spacing w:line="200" w:lineRule="exact"/>
            </w:pPr>
            <w:r>
              <w:rPr>
                <w:rFonts w:ascii="方正黑体_GBK" w:hAnsi="方正黑体_GBK" w:eastAsia="方正黑体_GBK" w:cs="宋体"/>
                <w:sz w:val="18"/>
                <w:szCs w:val="18"/>
              </w:rPr>
              <w:t>7.理财托管业务活动的记录、账册、报表和其他相关资料保存20年以上；</w:t>
            </w:r>
          </w:p>
          <w:p w14:paraId="37218E1A">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611B78DC">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2739BFB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FFA5BA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6BB5F3B9">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泰康资产管理有限责任公司、太平洋资产管理有限责任公司、中国对外经济贸易信托有限公司、鑫元基金管理有限公司，上述投资合作机构主要职责对应如下，具体职责以管理人与投资合作机构签署的合同为准。</w:t>
            </w:r>
          </w:p>
          <w:p w14:paraId="1EEC3636">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1.合作机构为理财产品所投资资产管理产品的发行机构，主要承担资产管理产品的管理人职责：平安资产管理有限责任公司、泰康资产管理有限责任公司、太平洋资产管理有限责任公司。</w:t>
            </w:r>
          </w:p>
          <w:p w14:paraId="0339EAB9">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14:paraId="0CCC3B4D">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4114B1CE">
            <w:pPr>
              <w:spacing w:line="200" w:lineRule="exact"/>
            </w:pPr>
            <w:r>
              <w:rPr>
                <w:rFonts w:ascii="方正黑体_GBK" w:hAnsi="方正黑体_GBK" w:eastAsia="方正黑体_GBK" w:cs="宋体"/>
                <w:sz w:val="18"/>
                <w:szCs w:val="18"/>
              </w:rPr>
              <w:t>上述投资合作机构简介：</w:t>
            </w:r>
          </w:p>
          <w:p w14:paraId="734D20B8">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3DDD8E31">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1D3EEBB1">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605F3133">
            <w:pPr>
              <w:spacing w:line="200" w:lineRule="exact"/>
            </w:pPr>
            <w:r>
              <w:rPr>
                <w:rFonts w:ascii="方正黑体_GBK" w:hAnsi="方正黑体_GBK" w:eastAsia="方正黑体_GBK" w:cs="宋体"/>
                <w:sz w:val="18"/>
                <w:szCs w:val="18"/>
              </w:rPr>
              <w:t>国联基金管理有限公司成立于2013年05月31日，注册资本金11.5亿元。</w:t>
            </w:r>
          </w:p>
          <w:p w14:paraId="602B599D">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6B7EAA69">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54299732">
            <w:pPr>
              <w:spacing w:line="200" w:lineRule="exact"/>
            </w:pPr>
            <w:r>
              <w:rPr>
                <w:rFonts w:ascii="方正黑体_GBK" w:hAnsi="方正黑体_GBK" w:eastAsia="方正黑体_GBK" w:cs="宋体"/>
                <w:sz w:val="18"/>
                <w:szCs w:val="18"/>
              </w:rPr>
              <w:t>华鑫国际信托有限公司成立于1984年06月01日，注册资本金73.95亿元。</w:t>
            </w:r>
          </w:p>
          <w:p w14:paraId="3F5D77AE">
            <w:pPr>
              <w:spacing w:line="200" w:lineRule="exact"/>
            </w:pPr>
            <w:r>
              <w:rPr>
                <w:rFonts w:ascii="方正黑体_GBK" w:hAnsi="方正黑体_GBK" w:eastAsia="方正黑体_GBK" w:cs="宋体"/>
                <w:sz w:val="18"/>
                <w:szCs w:val="18"/>
              </w:rPr>
              <w:t>建信保险资产管理有限公司成立于2016年04月27日，注册资本金3亿元。</w:t>
            </w:r>
          </w:p>
          <w:p w14:paraId="3BA06AC5">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1F17DDC5">
            <w:pPr>
              <w:spacing w:line="200" w:lineRule="exact"/>
            </w:pPr>
            <w:r>
              <w:rPr>
                <w:rFonts w:ascii="方正黑体_GBK" w:hAnsi="方正黑体_GBK" w:eastAsia="方正黑体_GBK" w:cs="宋体"/>
                <w:sz w:val="18"/>
                <w:szCs w:val="18"/>
              </w:rPr>
              <w:t>交银国际信托有限公司成立于1983年11月23日，注册资本金57.65亿元。</w:t>
            </w:r>
          </w:p>
          <w:p w14:paraId="76D8B686">
            <w:pPr>
              <w:spacing w:line="200" w:lineRule="exact"/>
            </w:pPr>
            <w:r>
              <w:rPr>
                <w:rFonts w:ascii="方正黑体_GBK" w:hAnsi="方正黑体_GBK" w:eastAsia="方正黑体_GBK" w:cs="宋体"/>
                <w:sz w:val="18"/>
                <w:szCs w:val="18"/>
              </w:rPr>
              <w:t>平安资产管理有限责任公司成立于2005年05月27日，注册资本金15亿元。</w:t>
            </w:r>
          </w:p>
          <w:p w14:paraId="5F7D768E">
            <w:pPr>
              <w:spacing w:line="200" w:lineRule="exact"/>
            </w:pPr>
            <w:r>
              <w:rPr>
                <w:rFonts w:ascii="方正黑体_GBK" w:hAnsi="方正黑体_GBK" w:eastAsia="方正黑体_GBK" w:cs="宋体"/>
                <w:sz w:val="18"/>
                <w:szCs w:val="18"/>
              </w:rPr>
              <w:t>泰康资产管理有限责任公司成立于2006年02月21日，注册资本金10亿元。</w:t>
            </w:r>
          </w:p>
          <w:p w14:paraId="5991565E">
            <w:pPr>
              <w:spacing w:line="200" w:lineRule="exact"/>
            </w:pPr>
            <w:r>
              <w:rPr>
                <w:rFonts w:ascii="方正黑体_GBK" w:hAnsi="方正黑体_GBK" w:eastAsia="方正黑体_GBK" w:cs="宋体"/>
                <w:sz w:val="18"/>
                <w:szCs w:val="18"/>
              </w:rPr>
              <w:t>太平洋资产管理有限责任公司成立于2006年06月09日，注册资本金21亿元。</w:t>
            </w:r>
          </w:p>
          <w:p w14:paraId="0600E687">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14:paraId="1FBE73E7">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5A0771C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709E0E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4AFCF8DB">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5A76AA44">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0B0A116F">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1D5873BB">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14:paraId="563CC3A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E4581F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58AFA475">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18C90081">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550F267C">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1D78645A">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2D87981C">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389BA86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65ACF95F">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6C5B0D7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689DB88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3F0A3AD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7EE9F0B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31A6D9A8">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62A2C71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04A6EE2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7BA61D0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2F9F931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4DB268C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461E4D8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67A1FAC3">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21D9429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1886F57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5B809C8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41E440B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43CA327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4ABB1FC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6866ED6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34EA1FE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400FC40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1B7493D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24CDACF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4F367D0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7CF7303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1A702064">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61FA9D49">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南银理财珠联璧合鑫逸稳两年98期封闭式公募人民币理财产品</w:t>
      </w:r>
      <w:r>
        <w:rPr>
          <w:rFonts w:hint="eastAsia" w:ascii="方正黑体_GBK" w:hAnsi="方正黑体_GBK" w:eastAsia="方正黑体_GBK"/>
          <w:vanish w:val="0"/>
          <w:color w:val="3D3D3D"/>
          <w:kern w:val="0"/>
          <w:sz w:val="15"/>
          <w:szCs w:val="15"/>
        </w:rPr>
        <w:t>。</w:t>
      </w:r>
    </w:p>
    <w:p w14:paraId="538893C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2C43670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7CE0348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4A55F7E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5A1B37C8">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7BEA642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468FF2D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0D82F12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3090195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15F043E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1DAB8E6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1F45E8E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6E06079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6672DAA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2B11B63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0D9405F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50A7C17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4B69800D">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0CF735C9">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4CC7F83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1970B70D">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30E82A6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45E99C15">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5FBC6A4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5AA6E435">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09DD9C3C">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7FC557A6">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3B92DC8F">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1581532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65AAD8CB">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53F9C1E6">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33823195">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7B71644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4F94B9C2">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5D9170D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13ABB892">
      <w:pPr>
        <w:spacing w:line="200" w:lineRule="exact"/>
        <w:ind w:firstLine="300"/>
        <w:jc w:val="both"/>
      </w:pPr>
      <w:r>
        <w:rPr>
          <w:rFonts w:ascii="方正黑体_GBK" w:hAnsi="方正黑体_GBK" w:eastAsia="方正黑体_GBK" w:cs="宋体"/>
          <w:sz w:val="15"/>
          <w:szCs w:val="20"/>
        </w:rPr>
        <w:t>（一）估值日</w:t>
      </w:r>
    </w:p>
    <w:p w14:paraId="731A8C49">
      <w:pPr>
        <w:spacing w:line="200" w:lineRule="exact"/>
        <w:ind w:firstLine="300"/>
        <w:jc w:val="both"/>
      </w:pPr>
      <w:r>
        <w:rPr>
          <w:rFonts w:ascii="方正黑体_GBK" w:hAnsi="方正黑体_GBK" w:eastAsia="方正黑体_GBK" w:cs="宋体"/>
          <w:sz w:val="15"/>
          <w:szCs w:val="20"/>
        </w:rPr>
        <w:t>本理财产品每个工作日进行估值。</w:t>
      </w:r>
    </w:p>
    <w:p w14:paraId="59C32379">
      <w:pPr>
        <w:spacing w:line="200" w:lineRule="exact"/>
        <w:ind w:firstLine="300"/>
        <w:jc w:val="both"/>
      </w:pPr>
      <w:r>
        <w:rPr>
          <w:rFonts w:ascii="方正黑体_GBK" w:hAnsi="方正黑体_GBK" w:eastAsia="方正黑体_GBK" w:cs="宋体"/>
          <w:sz w:val="15"/>
          <w:szCs w:val="20"/>
        </w:rPr>
        <w:t>（二）估值对象</w:t>
      </w:r>
    </w:p>
    <w:p w14:paraId="24CDD9D9">
      <w:pPr>
        <w:spacing w:line="200" w:lineRule="exact"/>
        <w:ind w:firstLine="300"/>
        <w:jc w:val="both"/>
      </w:pPr>
      <w:r>
        <w:rPr>
          <w:rFonts w:ascii="方正黑体_GBK" w:hAnsi="方正黑体_GBK" w:eastAsia="方正黑体_GBK" w:cs="宋体"/>
          <w:sz w:val="15"/>
          <w:szCs w:val="20"/>
        </w:rPr>
        <w:t>本理财产品所拥有的所有资产及负债。</w:t>
      </w:r>
    </w:p>
    <w:p w14:paraId="66415762">
      <w:pPr>
        <w:spacing w:line="200" w:lineRule="exact"/>
        <w:ind w:firstLine="300"/>
        <w:jc w:val="both"/>
      </w:pPr>
      <w:r>
        <w:rPr>
          <w:rFonts w:ascii="方正黑体_GBK" w:hAnsi="方正黑体_GBK" w:eastAsia="方正黑体_GBK" w:cs="宋体"/>
          <w:sz w:val="15"/>
          <w:szCs w:val="20"/>
        </w:rPr>
        <w:t>（三）估值目的</w:t>
      </w:r>
    </w:p>
    <w:p w14:paraId="27867533">
      <w:pPr>
        <w:spacing w:line="200" w:lineRule="exact"/>
        <w:ind w:firstLine="300"/>
        <w:jc w:val="both"/>
      </w:pPr>
      <w:r>
        <w:rPr>
          <w:rFonts w:ascii="方正黑体_GBK" w:hAnsi="方正黑体_GBK" w:eastAsia="方正黑体_GBK" w:cs="宋体"/>
          <w:sz w:val="15"/>
          <w:szCs w:val="20"/>
        </w:rPr>
        <w:t>客观、准确反映理财产品的价值。</w:t>
      </w:r>
    </w:p>
    <w:p w14:paraId="1217B251">
      <w:pPr>
        <w:spacing w:line="200" w:lineRule="exact"/>
        <w:ind w:firstLine="300"/>
        <w:jc w:val="both"/>
      </w:pPr>
      <w:r>
        <w:rPr>
          <w:rFonts w:ascii="方正黑体_GBK" w:hAnsi="方正黑体_GBK" w:eastAsia="方正黑体_GBK" w:cs="宋体"/>
          <w:sz w:val="15"/>
          <w:szCs w:val="20"/>
        </w:rPr>
        <w:t>（四）估值原则</w:t>
      </w:r>
    </w:p>
    <w:p w14:paraId="401FA43F">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14:paraId="6656FC2D">
      <w:pPr>
        <w:spacing w:line="200" w:lineRule="exact"/>
        <w:ind w:firstLine="300"/>
        <w:jc w:val="both"/>
      </w:pPr>
      <w:r>
        <w:rPr>
          <w:rFonts w:ascii="方正黑体_GBK" w:hAnsi="方正黑体_GBK" w:eastAsia="方正黑体_GBK" w:cs="宋体"/>
          <w:sz w:val="15"/>
          <w:szCs w:val="20"/>
        </w:rPr>
        <w:t>（五）估值方法</w:t>
      </w:r>
    </w:p>
    <w:p w14:paraId="20474DEB">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14:paraId="0ECBCB44">
      <w:pPr>
        <w:spacing w:line="200" w:lineRule="exact"/>
        <w:ind w:firstLine="300"/>
      </w:pPr>
      <w:r>
        <w:rPr>
          <w:rFonts w:ascii="方正黑体_GBK" w:hAnsi="方正黑体_GBK" w:eastAsia="方正黑体_GBK" w:cs="宋体"/>
          <w:color w:val="000000"/>
          <w:sz w:val="15"/>
          <w:szCs w:val="20"/>
        </w:rPr>
        <w:t>1.银行存款、回购等货币市场工具</w:t>
      </w:r>
    </w:p>
    <w:p w14:paraId="4D38174D">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14:paraId="3B5A6234">
      <w:pPr>
        <w:spacing w:line="200" w:lineRule="exact"/>
        <w:ind w:firstLine="300"/>
      </w:pPr>
      <w:r>
        <w:rPr>
          <w:rFonts w:ascii="方正黑体_GBK" w:hAnsi="方正黑体_GBK" w:eastAsia="方正黑体_GBK" w:cs="宋体"/>
          <w:color w:val="000000"/>
          <w:sz w:val="15"/>
          <w:szCs w:val="20"/>
        </w:rPr>
        <w:t>2.债券类资产</w:t>
      </w:r>
    </w:p>
    <w:p w14:paraId="11106211">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351B386C">
      <w:pPr>
        <w:spacing w:line="200" w:lineRule="exact"/>
        <w:ind w:firstLine="300"/>
      </w:pPr>
      <w:r>
        <w:rPr>
          <w:rFonts w:ascii="方正黑体_GBK" w:hAnsi="方正黑体_GBK" w:eastAsia="方正黑体_GBK" w:cs="宋体"/>
          <w:color w:val="000000"/>
          <w:sz w:val="15"/>
          <w:szCs w:val="20"/>
        </w:rPr>
        <w:t>3.非标准化债权类资产</w:t>
      </w:r>
    </w:p>
    <w:p w14:paraId="00014171">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18919F4A">
      <w:pPr>
        <w:spacing w:line="200" w:lineRule="exact"/>
        <w:ind w:firstLine="300"/>
      </w:pPr>
      <w:r>
        <w:rPr>
          <w:rFonts w:ascii="方正黑体_GBK" w:hAnsi="方正黑体_GBK" w:eastAsia="方正黑体_GBK" w:cs="宋体"/>
          <w:color w:val="000000"/>
          <w:sz w:val="15"/>
          <w:szCs w:val="20"/>
        </w:rPr>
        <w:t>4.证券投资基金</w:t>
      </w:r>
    </w:p>
    <w:p w14:paraId="5388C58E">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07F4CA8A">
      <w:pPr>
        <w:spacing w:line="200" w:lineRule="exact"/>
        <w:ind w:firstLine="300"/>
      </w:pPr>
      <w:r>
        <w:rPr>
          <w:rFonts w:ascii="方正黑体_GBK" w:hAnsi="方正黑体_GBK" w:eastAsia="方正黑体_GBK" w:cs="宋体"/>
          <w:color w:val="000000"/>
          <w:sz w:val="15"/>
          <w:szCs w:val="20"/>
        </w:rPr>
        <w:t>5.股权类资产</w:t>
      </w:r>
    </w:p>
    <w:p w14:paraId="4FD93F9B">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62A62B8A">
      <w:pPr>
        <w:spacing w:line="200" w:lineRule="exact"/>
        <w:ind w:firstLine="300"/>
      </w:pPr>
      <w:r>
        <w:rPr>
          <w:rFonts w:ascii="方正黑体_GBK" w:hAnsi="方正黑体_GBK" w:eastAsia="方正黑体_GBK" w:cs="宋体"/>
          <w:color w:val="000000"/>
          <w:sz w:val="15"/>
          <w:szCs w:val="20"/>
        </w:rPr>
        <w:t>6.资管计划、信托计划等资产</w:t>
      </w:r>
    </w:p>
    <w:p w14:paraId="7F3C67EE">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14:paraId="5FC2170A">
      <w:pPr>
        <w:spacing w:line="200" w:lineRule="exact"/>
        <w:ind w:firstLine="300"/>
      </w:pPr>
      <w:r>
        <w:rPr>
          <w:rFonts w:ascii="方正黑体_GBK" w:hAnsi="方正黑体_GBK" w:eastAsia="方正黑体_GBK" w:cs="宋体"/>
          <w:color w:val="000000"/>
          <w:sz w:val="15"/>
          <w:szCs w:val="20"/>
        </w:rPr>
        <w:t>7.其他资产</w:t>
      </w:r>
    </w:p>
    <w:p w14:paraId="5C32B529">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14:paraId="37CCFDFA">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13B9B2BC">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14:paraId="26349C38">
      <w:pPr>
        <w:spacing w:line="200" w:lineRule="exact"/>
        <w:ind w:firstLine="300"/>
        <w:jc w:val="both"/>
      </w:pPr>
      <w:r>
        <w:rPr>
          <w:rFonts w:ascii="方正黑体_GBK" w:hAnsi="方正黑体_GBK" w:eastAsia="方正黑体_GBK" w:cs="宋体"/>
          <w:sz w:val="15"/>
          <w:szCs w:val="20"/>
        </w:rPr>
        <w:t>（六）估值错误及暂停估值</w:t>
      </w:r>
    </w:p>
    <w:p w14:paraId="25182A85">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1D3C060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659DDA02">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3571BD32">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6CDC4A92">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1D56B7D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6C86E9B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33732AB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6094219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2D1F4BC2">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5B8CC95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254EBDD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653EDB2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7846FC7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36A0405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06F15E9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62A48B5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2EED706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1C3EBBA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7E77A29C">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45C2964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1FDFF23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242D40A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5BFC797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4ED04FB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03D5E9FE">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3915D23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5796043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1107FFC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2619AA2D">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40835CC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5C50EA34">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671582E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405DBEF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07A4126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7A739FE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4B8D2DE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5B61312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61BC379E">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71C1B">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8B229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qFormat/>
    <w:uiPriority w:val="0"/>
    <w:rPr>
      <w:b/>
    </w:rPr>
  </w:style>
  <w:style w:type="paragraph" w:customStyle="1" w:styleId="15">
    <w:name w:val="Normal7566022a"/>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eca5b1c1"/>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f1a8e626"/>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3488fec9"/>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c59a12e3"/>
    <w:uiPriority w:val="0"/>
  </w:style>
  <w:style w:type="paragraph" w:customStyle="1" w:styleId="20">
    <w:name w:val="toc 19ffcdbc6"/>
    <w:basedOn w:val="15"/>
    <w:next w:val="1"/>
    <w:autoRedefine/>
    <w:uiPriority w:val="0"/>
  </w:style>
  <w:style w:type="paragraph" w:customStyle="1" w:styleId="21">
    <w:name w:val="toc 22f0f8a35"/>
    <w:basedOn w:val="15"/>
    <w:next w:val="1"/>
    <w:autoRedefine/>
    <w:uiPriority w:val="0"/>
    <w:pPr>
      <w:ind w:left="420"/>
    </w:pPr>
  </w:style>
  <w:style w:type="paragraph" w:customStyle="1" w:styleId="22">
    <w:name w:val="toc 3332a941c"/>
    <w:basedOn w:val="15"/>
    <w:next w:val="1"/>
    <w:autoRedefine/>
    <w:uiPriority w:val="0"/>
    <w:pPr>
      <w:ind w:left="840"/>
    </w:pPr>
  </w:style>
  <w:style w:type="paragraph" w:customStyle="1" w:styleId="23">
    <w:name w:val="toc 48599269a"/>
    <w:basedOn w:val="15"/>
    <w:next w:val="1"/>
    <w:autoRedefine/>
    <w:uiPriority w:val="0"/>
    <w:pPr>
      <w:ind w:left="1260"/>
    </w:pPr>
  </w:style>
  <w:style w:type="paragraph" w:customStyle="1" w:styleId="24">
    <w:name w:val="toc 55b05d382"/>
    <w:basedOn w:val="15"/>
    <w:next w:val="1"/>
    <w:autoRedefine/>
    <w:uiPriority w:val="0"/>
    <w:pPr>
      <w:ind w:left="1680"/>
    </w:pPr>
  </w:style>
  <w:style w:type="paragraph" w:customStyle="1" w:styleId="25">
    <w:name w:val="header6029f012"/>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29fdf08e"/>
    <w:basedOn w:val="15"/>
    <w:uiPriority w:val="0"/>
    <w:pPr>
      <w:tabs>
        <w:tab w:val="center" w:pos="4153"/>
        <w:tab w:val="right" w:pos="8307"/>
      </w:tabs>
      <w:adjustRightInd/>
      <w:snapToGrid w:val="0"/>
      <w:contextualSpacing w:val="0"/>
      <w:jc w:val="left"/>
    </w:pPr>
    <w:rPr>
      <w:sz w:val="18"/>
    </w:rPr>
  </w:style>
  <w:style w:type="character" w:customStyle="1" w:styleId="27">
    <w:name w:val="Strongcf247cdb"/>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731f3e70"/>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7f6cc87c"/>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481178df"/>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1be16dba"/>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17e6eac6"/>
    <w:uiPriority w:val="0"/>
  </w:style>
  <w:style w:type="paragraph" w:customStyle="1" w:styleId="34">
    <w:name w:val="Normal Indent1a5d3c30"/>
    <w:basedOn w:val="29"/>
    <w:qFormat/>
    <w:uiPriority w:val="0"/>
    <w:pPr>
      <w:ind w:firstLine="200" w:firstLineChars="200"/>
    </w:pPr>
  </w:style>
  <w:style w:type="paragraph" w:customStyle="1" w:styleId="35">
    <w:name w:val="toc 541cd0d9f"/>
    <w:basedOn w:val="29"/>
    <w:next w:val="1"/>
    <w:uiPriority w:val="0"/>
    <w:pPr>
      <w:ind w:left="1680"/>
    </w:pPr>
  </w:style>
  <w:style w:type="paragraph" w:customStyle="1" w:styleId="36">
    <w:name w:val="toc 35cca25fe"/>
    <w:basedOn w:val="29"/>
    <w:next w:val="1"/>
    <w:uiPriority w:val="0"/>
    <w:pPr>
      <w:ind w:left="840"/>
    </w:pPr>
  </w:style>
  <w:style w:type="paragraph" w:customStyle="1" w:styleId="37">
    <w:name w:val="footer89665d07"/>
    <w:basedOn w:val="29"/>
    <w:uiPriority w:val="0"/>
    <w:pPr>
      <w:tabs>
        <w:tab w:val="center" w:pos="4153"/>
        <w:tab w:val="right" w:pos="8307"/>
      </w:tabs>
      <w:adjustRightInd/>
      <w:snapToGrid w:val="0"/>
      <w:contextualSpacing w:val="0"/>
      <w:jc w:val="left"/>
    </w:pPr>
    <w:rPr>
      <w:sz w:val="18"/>
    </w:rPr>
  </w:style>
  <w:style w:type="paragraph" w:customStyle="1" w:styleId="38">
    <w:name w:val="headerecf6523c"/>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5898abdc"/>
    <w:basedOn w:val="29"/>
    <w:next w:val="1"/>
    <w:uiPriority w:val="0"/>
  </w:style>
  <w:style w:type="paragraph" w:customStyle="1" w:styleId="40">
    <w:name w:val="toc 472d6a323"/>
    <w:basedOn w:val="29"/>
    <w:next w:val="1"/>
    <w:qFormat/>
    <w:uiPriority w:val="0"/>
    <w:pPr>
      <w:ind w:left="1260"/>
    </w:pPr>
  </w:style>
  <w:style w:type="paragraph" w:customStyle="1" w:styleId="41">
    <w:name w:val="toc 2f36b2999"/>
    <w:basedOn w:val="29"/>
    <w:next w:val="1"/>
    <w:qFormat/>
    <w:uiPriority w:val="0"/>
    <w:pPr>
      <w:ind w:left="420"/>
    </w:pPr>
  </w:style>
  <w:style w:type="paragraph" w:customStyle="1" w:styleId="42">
    <w:name w:val="Normal (Web)f267fe3b"/>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f6364f4af6364f4a"/>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c36a3ea7c36a3ea7"/>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0164c7870164c787"/>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8f1590b18f1590b1"/>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f1ee140df1ee140"/>
    <w:uiPriority w:val="0"/>
  </w:style>
  <w:style w:type="paragraph" w:customStyle="1" w:styleId="49">
    <w:name w:val="引文目录10a7b17880a7b1788"/>
    <w:basedOn w:val="44"/>
    <w:next w:val="1"/>
    <w:uiPriority w:val="0"/>
    <w:pPr>
      <w:ind w:left="200" w:leftChars="200"/>
    </w:pPr>
  </w:style>
  <w:style w:type="paragraph" w:customStyle="1" w:styleId="50">
    <w:name w:val="toc 58973e7478973e747"/>
    <w:basedOn w:val="44"/>
    <w:next w:val="1"/>
    <w:uiPriority w:val="0"/>
    <w:pPr>
      <w:ind w:left="1680"/>
    </w:pPr>
  </w:style>
  <w:style w:type="paragraph" w:customStyle="1" w:styleId="51">
    <w:name w:val="toc 3c110580fc110580f"/>
    <w:basedOn w:val="44"/>
    <w:next w:val="1"/>
    <w:uiPriority w:val="0"/>
    <w:pPr>
      <w:ind w:left="840"/>
    </w:pPr>
  </w:style>
  <w:style w:type="paragraph" w:customStyle="1" w:styleId="52">
    <w:name w:val="footerb3013e29b3013e29"/>
    <w:basedOn w:val="44"/>
    <w:uiPriority w:val="0"/>
    <w:pPr>
      <w:tabs>
        <w:tab w:val="center" w:pos="4153"/>
        <w:tab w:val="right" w:pos="8307"/>
      </w:tabs>
      <w:adjustRightInd/>
      <w:snapToGrid w:val="0"/>
      <w:contextualSpacing w:val="0"/>
      <w:jc w:val="left"/>
    </w:pPr>
    <w:rPr>
      <w:sz w:val="18"/>
    </w:rPr>
  </w:style>
  <w:style w:type="paragraph" w:customStyle="1" w:styleId="53">
    <w:name w:val="header5adc91695adc9169"/>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0afd286d0afd286d"/>
    <w:basedOn w:val="44"/>
    <w:next w:val="1"/>
    <w:uiPriority w:val="0"/>
  </w:style>
  <w:style w:type="paragraph" w:customStyle="1" w:styleId="55">
    <w:name w:val="toc 4498c6326498c6326"/>
    <w:basedOn w:val="44"/>
    <w:next w:val="1"/>
    <w:uiPriority w:val="0"/>
    <w:pPr>
      <w:ind w:left="1260"/>
    </w:pPr>
  </w:style>
  <w:style w:type="paragraph" w:customStyle="1" w:styleId="56">
    <w:name w:val="toc 2fa25b715fa25b715"/>
    <w:basedOn w:val="44"/>
    <w:next w:val="1"/>
    <w:uiPriority w:val="0"/>
    <w:pPr>
      <w:ind w:left="420"/>
    </w:pPr>
  </w:style>
  <w:style w:type="paragraph" w:customStyle="1" w:styleId="57">
    <w:name w:val="列出段落1462b6361462b636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23317</Words>
  <Characters>23925</Characters>
  <Lines>77</Lines>
  <Paragraphs>27</Paragraphs>
  <TotalTime>9</TotalTime>
  <ScaleCrop>false</ScaleCrop>
  <LinksUpToDate>false</LinksUpToDate>
  <CharactersWithSpaces>24093</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2024-11-15T06:59:04Z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36DD2E0BAD2B47288E5309127056288D_13</vt:lpwstr>
  </property>
</Properties>
</file>